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7380" w14:textId="77777777" w:rsidR="004B7ACB" w:rsidRPr="00966B85" w:rsidRDefault="00A54057">
      <w:pPr>
        <w:rPr>
          <w:b/>
          <w:sz w:val="28"/>
          <w:szCs w:val="28"/>
        </w:rPr>
      </w:pPr>
      <w:r w:rsidRPr="00966B85">
        <w:rPr>
          <w:b/>
          <w:sz w:val="28"/>
          <w:szCs w:val="28"/>
        </w:rPr>
        <w:t xml:space="preserve">ALTSA </w:t>
      </w:r>
      <w:r w:rsidR="004B7ACB" w:rsidRPr="00966B85">
        <w:rPr>
          <w:b/>
          <w:sz w:val="28"/>
          <w:szCs w:val="28"/>
        </w:rPr>
        <w:t xml:space="preserve">SFY22 </w:t>
      </w:r>
      <w:r w:rsidR="00EC698E" w:rsidRPr="00966B85">
        <w:rPr>
          <w:b/>
          <w:sz w:val="28"/>
          <w:szCs w:val="28"/>
        </w:rPr>
        <w:t xml:space="preserve">Budget Reduction Exercise:  </w:t>
      </w:r>
      <w:r w:rsidR="0051450A" w:rsidRPr="00966B85">
        <w:rPr>
          <w:b/>
          <w:sz w:val="28"/>
          <w:szCs w:val="28"/>
        </w:rPr>
        <w:t xml:space="preserve">Estimated </w:t>
      </w:r>
      <w:r w:rsidR="0046462D" w:rsidRPr="00966B85">
        <w:rPr>
          <w:b/>
          <w:sz w:val="28"/>
          <w:szCs w:val="28"/>
        </w:rPr>
        <w:t xml:space="preserve">Client Eligibility Cuts </w:t>
      </w:r>
    </w:p>
    <w:p w14:paraId="4688DD5A" w14:textId="77777777" w:rsidR="004130A5" w:rsidRPr="00966B85" w:rsidRDefault="00EC698E" w:rsidP="004130A5">
      <w:pPr>
        <w:pStyle w:val="NormalWeb"/>
        <w:shd w:val="clear" w:color="auto" w:fill="FFFFFF"/>
        <w:spacing w:after="100" w:afterAutospacing="1" w:line="240" w:lineRule="auto"/>
        <w:rPr>
          <w:rFonts w:ascii="Open Sans" w:hAnsi="Open Sans" w:cs="Helvetica"/>
          <w:sz w:val="22"/>
          <w:szCs w:val="22"/>
          <w:lang w:val="en"/>
        </w:rPr>
      </w:pPr>
      <w:r w:rsidRPr="00966B85">
        <w:rPr>
          <w:rFonts w:ascii="Open Sans" w:hAnsi="Open Sans" w:cs="Helvetica"/>
          <w:sz w:val="22"/>
          <w:szCs w:val="22"/>
          <w:lang w:val="en"/>
        </w:rPr>
        <w:t xml:space="preserve">The COVID-19 pandemic has done significant damage to Washington’s economy. With state revenue collections projected to decline sharply for the foreseeable future, OFM </w:t>
      </w:r>
      <w:hyperlink r:id="rId5" w:tgtFrame="_blank" w:history="1">
        <w:r w:rsidRPr="00966B85">
          <w:rPr>
            <w:rFonts w:ascii="Open Sans" w:hAnsi="Open Sans" w:cs="Helvetica"/>
            <w:sz w:val="22"/>
            <w:szCs w:val="22"/>
            <w:lang w:val="en"/>
          </w:rPr>
          <w:t>directed state agencies</w:t>
        </w:r>
      </w:hyperlink>
      <w:r w:rsidRPr="00966B85">
        <w:rPr>
          <w:rFonts w:ascii="Open Sans" w:hAnsi="Open Sans" w:cs="Helvetica"/>
          <w:sz w:val="22"/>
          <w:szCs w:val="22"/>
          <w:lang w:val="en"/>
        </w:rPr>
        <w:t xml:space="preserve"> to identify options for reducing their spending. </w:t>
      </w:r>
      <w:r w:rsidR="004B7ACB" w:rsidRPr="00966B85">
        <w:rPr>
          <w:rFonts w:ascii="Open Sans" w:hAnsi="Open Sans" w:cs="Helvetica"/>
          <w:sz w:val="22"/>
          <w:szCs w:val="22"/>
          <w:lang w:val="en"/>
        </w:rPr>
        <w:t xml:space="preserve"> Because of maintenance of effort (MOE) requirements in the CARES Act, ALTSA cannot make eligibility, </w:t>
      </w:r>
      <w:r w:rsidR="00677088">
        <w:rPr>
          <w:rFonts w:ascii="Open Sans" w:hAnsi="Open Sans" w:cs="Helvetica"/>
          <w:sz w:val="22"/>
          <w:szCs w:val="22"/>
          <w:lang w:val="en"/>
        </w:rPr>
        <w:t xml:space="preserve">or </w:t>
      </w:r>
      <w:r w:rsidR="004B7ACB" w:rsidRPr="00966B85">
        <w:rPr>
          <w:rFonts w:ascii="Open Sans" w:hAnsi="Open Sans" w:cs="Helvetica"/>
          <w:sz w:val="22"/>
          <w:szCs w:val="22"/>
          <w:lang w:val="en"/>
        </w:rPr>
        <w:t>level of benefit</w:t>
      </w:r>
      <w:r w:rsidR="00677088">
        <w:rPr>
          <w:rFonts w:ascii="Open Sans" w:hAnsi="Open Sans" w:cs="Helvetica"/>
          <w:sz w:val="22"/>
          <w:szCs w:val="22"/>
          <w:lang w:val="en"/>
        </w:rPr>
        <w:t>s</w:t>
      </w:r>
      <w:r w:rsidR="004B7ACB" w:rsidRPr="00966B85">
        <w:rPr>
          <w:rFonts w:ascii="Open Sans" w:hAnsi="Open Sans" w:cs="Helvetica"/>
          <w:sz w:val="22"/>
          <w:szCs w:val="22"/>
          <w:lang w:val="en"/>
        </w:rPr>
        <w:t xml:space="preserve">, while still receiving enhanced federal match.  </w:t>
      </w:r>
      <w:r w:rsidRPr="00966B85">
        <w:rPr>
          <w:rFonts w:ascii="Open Sans" w:hAnsi="Open Sans" w:cs="Helvetica"/>
          <w:sz w:val="22"/>
          <w:szCs w:val="22"/>
          <w:lang w:val="en"/>
        </w:rPr>
        <w:t xml:space="preserve">The information below provides additional detail </w:t>
      </w:r>
      <w:r w:rsidR="0003696A">
        <w:rPr>
          <w:rFonts w:ascii="Open Sans" w:hAnsi="Open Sans" w:cs="Helvetica"/>
          <w:sz w:val="22"/>
          <w:szCs w:val="22"/>
          <w:lang w:val="en"/>
        </w:rPr>
        <w:t xml:space="preserve">on </w:t>
      </w:r>
      <w:r w:rsidRPr="00966B85">
        <w:rPr>
          <w:rFonts w:ascii="Open Sans" w:hAnsi="Open Sans" w:cs="Helvetica"/>
          <w:sz w:val="22"/>
          <w:szCs w:val="22"/>
          <w:lang w:val="en"/>
        </w:rPr>
        <w:t xml:space="preserve">the modeling of </w:t>
      </w:r>
      <w:r w:rsidR="0003696A">
        <w:rPr>
          <w:rFonts w:ascii="Open Sans" w:hAnsi="Open Sans" w:cs="Helvetica"/>
          <w:sz w:val="22"/>
          <w:szCs w:val="22"/>
          <w:lang w:val="en"/>
        </w:rPr>
        <w:t xml:space="preserve">eligibility </w:t>
      </w:r>
      <w:r w:rsidR="00966B85" w:rsidRPr="00966B85">
        <w:rPr>
          <w:rFonts w:ascii="Open Sans" w:hAnsi="Open Sans" w:cs="Helvetica"/>
          <w:sz w:val="22"/>
          <w:szCs w:val="22"/>
          <w:lang w:val="en"/>
        </w:rPr>
        <w:t xml:space="preserve">reductions </w:t>
      </w:r>
      <w:r w:rsidR="00966B85" w:rsidRPr="00677088">
        <w:rPr>
          <w:rFonts w:ascii="Open Sans" w:hAnsi="Open Sans" w:cs="Helvetica"/>
          <w:sz w:val="22"/>
          <w:szCs w:val="22"/>
          <w:lang w:val="en"/>
        </w:rPr>
        <w:t>that</w:t>
      </w:r>
      <w:r w:rsidR="00EB102D" w:rsidRPr="00677088">
        <w:rPr>
          <w:rFonts w:ascii="Open Sans" w:hAnsi="Open Sans" w:cs="Helvetica"/>
          <w:sz w:val="22"/>
          <w:szCs w:val="22"/>
          <w:lang w:val="en"/>
        </w:rPr>
        <w:t xml:space="preserve"> </w:t>
      </w:r>
      <w:r w:rsidR="0003696A" w:rsidRPr="00677088">
        <w:rPr>
          <w:rFonts w:ascii="Open Sans" w:hAnsi="Open Sans" w:cs="Helvetica"/>
          <w:sz w:val="22"/>
          <w:szCs w:val="22"/>
          <w:lang w:val="en"/>
        </w:rPr>
        <w:t>could potentially begin in</w:t>
      </w:r>
      <w:r w:rsidR="00EB102D" w:rsidRPr="00677088">
        <w:rPr>
          <w:rFonts w:ascii="Open Sans" w:hAnsi="Open Sans" w:cs="Helvetica"/>
          <w:sz w:val="22"/>
          <w:szCs w:val="22"/>
          <w:lang w:val="en"/>
        </w:rPr>
        <w:t xml:space="preserve"> SFY22</w:t>
      </w:r>
      <w:r w:rsidR="004130A5" w:rsidRPr="00677088">
        <w:rPr>
          <w:rFonts w:ascii="Open Sans" w:hAnsi="Open Sans" w:cs="Helvetica"/>
          <w:sz w:val="22"/>
          <w:szCs w:val="22"/>
          <w:lang w:val="en"/>
        </w:rPr>
        <w:t>, ending services for approximately 12,000 ALTSA Medicaid clients</w:t>
      </w:r>
      <w:r w:rsidRPr="00677088">
        <w:rPr>
          <w:rFonts w:ascii="Open Sans" w:hAnsi="Open Sans" w:cs="Helvetica"/>
          <w:sz w:val="22"/>
          <w:szCs w:val="22"/>
          <w:lang w:val="en"/>
        </w:rPr>
        <w:t>.</w:t>
      </w:r>
      <w:r w:rsidRPr="00966B85">
        <w:rPr>
          <w:rFonts w:ascii="Open Sans" w:hAnsi="Open Sans" w:cs="Helvetica"/>
          <w:sz w:val="22"/>
          <w:szCs w:val="22"/>
          <w:lang w:val="en"/>
        </w:rPr>
        <w:t xml:space="preserve">  </w:t>
      </w:r>
      <w:r w:rsidR="004130A5" w:rsidRPr="00966B85">
        <w:rPr>
          <w:rFonts w:ascii="Open Sans" w:hAnsi="Open Sans" w:cs="Helvetica"/>
          <w:sz w:val="22"/>
          <w:szCs w:val="22"/>
          <w:lang w:val="en"/>
        </w:rPr>
        <w:t>ALTSA will continue to work with DSHS and OFM to review and refine savings options for the governor and the Legislature to consider.</w:t>
      </w:r>
    </w:p>
    <w:p w14:paraId="0BA09619" w14:textId="77777777" w:rsidR="00EC698E" w:rsidRPr="00966B85" w:rsidRDefault="00EC698E" w:rsidP="00A54057">
      <w:pPr>
        <w:pStyle w:val="NormalWeb"/>
        <w:shd w:val="clear" w:color="auto" w:fill="FFFFFF"/>
        <w:spacing w:after="100" w:afterAutospacing="1" w:line="240" w:lineRule="auto"/>
        <w:rPr>
          <w:rFonts w:ascii="Open Sans" w:hAnsi="Open Sans" w:cs="Helvetica"/>
          <w:sz w:val="22"/>
          <w:szCs w:val="22"/>
          <w:lang w:val="en"/>
        </w:rPr>
      </w:pPr>
    </w:p>
    <w:p w14:paraId="2AAAECBD" w14:textId="77777777" w:rsidR="00EC698E" w:rsidRPr="00966B85" w:rsidRDefault="00EC698E" w:rsidP="00A54057">
      <w:pPr>
        <w:pStyle w:val="NormalWeb"/>
        <w:shd w:val="clear" w:color="auto" w:fill="FFFFFF"/>
        <w:spacing w:after="100" w:afterAutospacing="1" w:line="240" w:lineRule="auto"/>
        <w:rPr>
          <w:rFonts w:ascii="Open Sans" w:hAnsi="Open Sans" w:cs="Helvetica"/>
          <w:sz w:val="22"/>
          <w:szCs w:val="22"/>
          <w:lang w:val="en"/>
        </w:rPr>
      </w:pPr>
      <w:r w:rsidRPr="00966B85">
        <w:rPr>
          <w:rStyle w:val="Strong"/>
          <w:rFonts w:ascii="Open Sans" w:hAnsi="Open Sans" w:cs="Helvetica"/>
          <w:sz w:val="22"/>
          <w:szCs w:val="22"/>
          <w:lang w:val="en"/>
        </w:rPr>
        <w:t xml:space="preserve">NOTE: The data reflect preliminary savings related to changes in eligibility modeled in this reduction option. This is not a formal proposal and does not necessarily reflect the priorities of Gov. Inslee or ALTSA. </w:t>
      </w:r>
      <w:r w:rsidR="00A54057" w:rsidRPr="00966B85">
        <w:rPr>
          <w:rStyle w:val="Strong"/>
          <w:rFonts w:ascii="Open Sans" w:hAnsi="Open Sans" w:cs="Helvetica"/>
          <w:sz w:val="22"/>
          <w:szCs w:val="22"/>
          <w:lang w:val="en"/>
        </w:rPr>
        <w:t xml:space="preserve"> Modeling this service reduction</w:t>
      </w:r>
      <w:r w:rsidRPr="00966B85">
        <w:rPr>
          <w:rStyle w:val="Strong"/>
          <w:rFonts w:ascii="Open Sans" w:hAnsi="Open Sans" w:cs="Helvetica"/>
          <w:sz w:val="22"/>
          <w:szCs w:val="22"/>
          <w:lang w:val="en"/>
        </w:rPr>
        <w:t xml:space="preserve"> does not mean the reduction will actually </w:t>
      </w:r>
      <w:proofErr w:type="gramStart"/>
      <w:r w:rsidRPr="00966B85">
        <w:rPr>
          <w:rStyle w:val="Strong"/>
          <w:rFonts w:ascii="Open Sans" w:hAnsi="Open Sans" w:cs="Helvetica"/>
          <w:sz w:val="22"/>
          <w:szCs w:val="22"/>
          <w:lang w:val="en"/>
        </w:rPr>
        <w:t>happen, or</w:t>
      </w:r>
      <w:proofErr w:type="gramEnd"/>
      <w:r w:rsidRPr="00966B85">
        <w:rPr>
          <w:rStyle w:val="Strong"/>
          <w:rFonts w:ascii="Open Sans" w:hAnsi="Open Sans" w:cs="Helvetica"/>
          <w:sz w:val="22"/>
          <w:szCs w:val="22"/>
          <w:lang w:val="en"/>
        </w:rPr>
        <w:t xml:space="preserve"> happen at the level shown</w:t>
      </w:r>
      <w:r w:rsidRPr="00966B85">
        <w:rPr>
          <w:rFonts w:ascii="Open Sans" w:hAnsi="Open Sans" w:cs="Helvetica"/>
          <w:sz w:val="22"/>
          <w:szCs w:val="22"/>
          <w:lang w:val="en"/>
        </w:rPr>
        <w:t>.</w:t>
      </w:r>
    </w:p>
    <w:p w14:paraId="7A48D637" w14:textId="77777777" w:rsidR="002B2BC5" w:rsidRDefault="007B72D6" w:rsidP="00EB102D">
      <w:r w:rsidRPr="00EB102D">
        <w:rPr>
          <w:b/>
          <w:sz w:val="24"/>
          <w:szCs w:val="24"/>
        </w:rPr>
        <w:t>Modeling of MPC Elimination and NFLOC Eligibility Change By Setting</w:t>
      </w:r>
      <w:r w:rsidRPr="007B72D6">
        <w:t xml:space="preserve"> </w:t>
      </w:r>
      <w:r w:rsidR="00817ABC" w:rsidRPr="00817ABC">
        <w:rPr>
          <w:noProof/>
        </w:rPr>
        <w:drawing>
          <wp:inline distT="0" distB="0" distL="0" distR="0" wp14:anchorId="4DE0F960" wp14:editId="4ACBA7D3">
            <wp:extent cx="6534486" cy="19241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486" cy="192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E7BA" w14:textId="77777777" w:rsidR="002B2BC5" w:rsidRDefault="002B2BC5" w:rsidP="002B2BC5">
      <w:pPr>
        <w:rPr>
          <w:b/>
        </w:rPr>
      </w:pPr>
      <w:r>
        <w:rPr>
          <w:b/>
        </w:rPr>
        <w:t>There would be up to 2,800 people in Skilled Nursing Facilities who would no longer meet NFLOC, saving $221,848,000 ($110,924,000 GF-State) annually.</w:t>
      </w:r>
    </w:p>
    <w:p w14:paraId="091CAC35" w14:textId="77777777" w:rsidR="002B2BC5" w:rsidRDefault="002B2BC5" w:rsidP="00EB102D"/>
    <w:p w14:paraId="2C07145E" w14:textId="77777777" w:rsidR="00EB102D" w:rsidRPr="00196C9B" w:rsidRDefault="00A54057" w:rsidP="00EB102D">
      <w:r>
        <w:t>*Ancillary Services such as nurse delegation, personal emergency response systems, behavior supports, etc. are authorized based upon assessment and these services for client no longer</w:t>
      </w:r>
      <w:r w:rsidR="002B2BC5">
        <w:t xml:space="preserve"> functionally eligible would end</w:t>
      </w:r>
      <w:r>
        <w:t>.  The client counts are already reflected in the primary personal care settings/providers.</w:t>
      </w:r>
      <w:r w:rsidR="00EB102D" w:rsidRPr="00EB102D">
        <w:rPr>
          <w:b/>
        </w:rPr>
        <w:t xml:space="preserve"> </w:t>
      </w:r>
      <w:r w:rsidR="00196C9B">
        <w:rPr>
          <w:b/>
        </w:rPr>
        <w:t xml:space="preserve"> </w:t>
      </w:r>
      <w:r w:rsidR="00196C9B">
        <w:t>The number of clients authorized for those ancillary services are modeled in a table below.  The actual client numbers are estimates based upon an August 2020 data pull.</w:t>
      </w:r>
    </w:p>
    <w:p w14:paraId="26A52CF2" w14:textId="77777777" w:rsidR="00817ABC" w:rsidRDefault="00817ABC" w:rsidP="00817ABC">
      <w:pPr>
        <w:pStyle w:val="ListParagraph"/>
        <w:ind w:left="0"/>
        <w:rPr>
          <w:rFonts w:asciiTheme="majorHAnsi" w:hAnsiTheme="majorHAnsi" w:cstheme="majorHAnsi"/>
          <w:b/>
          <w:color w:val="1F4E79" w:themeColor="accent1" w:themeShade="80"/>
          <w:sz w:val="24"/>
          <w:szCs w:val="24"/>
        </w:rPr>
      </w:pPr>
    </w:p>
    <w:p w14:paraId="29BA0EBE" w14:textId="77777777" w:rsidR="00DE0EFB" w:rsidRDefault="00DE0EFB" w:rsidP="00EB102D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F21C3A" wp14:editId="403196FD">
            <wp:extent cx="6858000" cy="3375385"/>
            <wp:effectExtent l="0" t="0" r="0" b="0"/>
            <wp:docPr id="1" name="Picture 1" descr="cid:image003.png@01D67D6D.48165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7D6D.48165A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47" cy="345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445CB" w14:textId="77777777" w:rsidR="0046462D" w:rsidRPr="00966B85" w:rsidRDefault="00EB102D" w:rsidP="00EB102D">
      <w:pPr>
        <w:rPr>
          <w:sz w:val="24"/>
          <w:szCs w:val="24"/>
        </w:rPr>
      </w:pPr>
      <w:r w:rsidRPr="00966B85">
        <w:rPr>
          <w:b/>
          <w:sz w:val="24"/>
          <w:szCs w:val="24"/>
        </w:rPr>
        <w:t xml:space="preserve">Estimated Number of Clients by CARE Classification Group </w:t>
      </w:r>
      <w:r w:rsidR="00196C9B">
        <w:rPr>
          <w:b/>
          <w:sz w:val="24"/>
          <w:szCs w:val="24"/>
        </w:rPr>
        <w:t>that would lose eligibility based upon this model of eligibility cut</w:t>
      </w:r>
      <w:r w:rsidR="002B2BC5">
        <w:rPr>
          <w:b/>
          <w:sz w:val="24"/>
          <w:szCs w:val="24"/>
        </w:rPr>
        <w:t xml:space="preserve"> based upon August 2020 data pull</w:t>
      </w:r>
      <w:r w:rsidR="00196C9B">
        <w:rPr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-37"/>
        <w:tblOverlap w:val="never"/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200"/>
        <w:gridCol w:w="840"/>
        <w:gridCol w:w="1120"/>
        <w:gridCol w:w="660"/>
        <w:gridCol w:w="660"/>
        <w:gridCol w:w="780"/>
        <w:gridCol w:w="1060"/>
        <w:gridCol w:w="980"/>
        <w:gridCol w:w="900"/>
      </w:tblGrid>
      <w:tr w:rsidR="00EB102D" w:rsidRPr="008E7016" w14:paraId="37E82C7C" w14:textId="77777777" w:rsidTr="00EB102D">
        <w:trPr>
          <w:trHeight w:val="6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786747C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Acuity Order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C2F7690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Acuity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E45105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Assisted Living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051D70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ARC/EARC/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Dementia ECS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470576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ESF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A96D69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PACE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D7448F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AFH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6E25F9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HC Agencies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2B39D65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Individual Provider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FAA00A8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EB102D" w:rsidRPr="008E7016" w14:paraId="2ED4BCDB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0FF69D6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18C19F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A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6CC45A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5984732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DF01FD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002F478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C696640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2848A1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1B2F40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9481ED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1,893 </w:t>
            </w:r>
          </w:p>
        </w:tc>
      </w:tr>
      <w:tr w:rsidR="00EB102D" w:rsidRPr="008E7016" w14:paraId="64D1451C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25DFCB8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AB4EC8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B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9E3783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686FEFD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3F10E2C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1B974C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2C25C2C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556E85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21B273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6BC673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2,562 </w:t>
            </w:r>
          </w:p>
        </w:tc>
      </w:tr>
      <w:tr w:rsidR="00EB102D" w:rsidRPr="008E7016" w14:paraId="48009601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B552B9F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D77548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A 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5F333E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E1B3C32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5E1401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D64FB8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612ABA8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55033A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0DA95E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CB507FE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1,732 </w:t>
            </w:r>
          </w:p>
        </w:tc>
      </w:tr>
      <w:tr w:rsidR="00EB102D" w:rsidRPr="008E7016" w14:paraId="388DF885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9879295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10F3F6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B 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0FF89F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65C89C4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71E1786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8791D2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960918D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8BC9808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6211B2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F1BCCD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2,147 </w:t>
            </w:r>
          </w:p>
        </w:tc>
      </w:tr>
      <w:tr w:rsidR="00EB102D" w:rsidRPr="008E7016" w14:paraId="5821D505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983EACC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4D35DD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C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BC3D0C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22C592C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A65DDC1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0F8F6D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A21E1F6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0E63DA8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BD8451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2DECB1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277 </w:t>
            </w:r>
          </w:p>
        </w:tc>
      </w:tr>
      <w:tr w:rsidR="00EB102D" w:rsidRPr="008E7016" w14:paraId="14D6EF66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4F60C57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E44322F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A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94600F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DA050BC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A4614F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D9E107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3EA271B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8EAFF1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A49E03E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F2C62C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244 </w:t>
            </w:r>
          </w:p>
        </w:tc>
      </w:tr>
      <w:tr w:rsidR="00EB102D" w:rsidRPr="008E7016" w14:paraId="3B779764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4AAD407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894DE51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D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221B81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2A0557F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BFCCEBE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C94253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A639E4C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ABC86D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D8D35D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D57C6EF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 </w:t>
            </w:r>
          </w:p>
        </w:tc>
      </w:tr>
      <w:tr w:rsidR="00EB102D" w:rsidRPr="008E7016" w14:paraId="08AD77CF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5F7A5A0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899E43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B Med-High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2D4B37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4F60A37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DF2B0FB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27C653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94425F5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670F13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5E269D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A03A3B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77 </w:t>
            </w:r>
          </w:p>
        </w:tc>
      </w:tr>
      <w:tr w:rsidR="00EB102D" w:rsidRPr="008E7016" w14:paraId="4522A961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1D9F421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17744BF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B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795140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D2F1E33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3A65E87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08505E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A407D35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71031A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34C72A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6D7855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35 </w:t>
            </w:r>
          </w:p>
        </w:tc>
      </w:tr>
      <w:tr w:rsidR="00EB102D" w:rsidRPr="008E7016" w14:paraId="00455E7B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DC8BB30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8C20F2E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C 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47CD436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89EE131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231DF6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E55558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ABE07E9" w14:textId="77777777" w:rsidR="00EB102D" w:rsidRPr="008E7016" w:rsidRDefault="00EB102D" w:rsidP="00EB1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7424B9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55AA07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0C9FEE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281 </w:t>
            </w:r>
          </w:p>
        </w:tc>
      </w:tr>
      <w:tr w:rsidR="00EB102D" w:rsidRPr="008E7016" w14:paraId="11524E15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04657C0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5A103A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D 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D1691B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5E044FF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7C3DF5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05BCF9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D37BC8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E487DB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E0C3DF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06B2B83A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-   </w:t>
            </w:r>
          </w:p>
        </w:tc>
      </w:tr>
      <w:tr w:rsidR="00EB102D" w:rsidRPr="008E7016" w14:paraId="293B55AA" w14:textId="77777777" w:rsidTr="00EB102D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1D8A3A45" w14:textId="77777777" w:rsidR="00EB102D" w:rsidRPr="008E7016" w:rsidRDefault="00EB102D" w:rsidP="00EB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5AEA3D36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016">
              <w:rPr>
                <w:rFonts w:ascii="Calibri" w:eastAsia="Times New Roman" w:hAnsi="Calibri" w:cs="Calibri"/>
                <w:color w:val="000000"/>
              </w:rPr>
              <w:t>C Med-High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73B19C8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158ED57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2B95FAB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33C0561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4B268E5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7B6F0529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D25EC5B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2F75B5"/>
            </w:tcBorders>
            <w:shd w:val="clear" w:color="000000" w:fill="FFFFFF"/>
            <w:noWrap/>
            <w:vAlign w:val="bottom"/>
            <w:hideMark/>
          </w:tcPr>
          <w:p w14:paraId="62E93FA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 </w:t>
            </w:r>
          </w:p>
        </w:tc>
      </w:tr>
      <w:tr w:rsidR="00EB102D" w:rsidRPr="008E7016" w14:paraId="17FA701A" w14:textId="77777777" w:rsidTr="00EB10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2F75B5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6452217D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3DDBA43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2E3853E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1,415</w:t>
            </w:r>
            <w:r w:rsidRPr="008E70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41F6E6E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647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38044784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17385D82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187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686813CC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7BCC7590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3,475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6DC70A33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2,922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2F75B5"/>
            </w:tcBorders>
            <w:shd w:val="clear" w:color="000000" w:fill="DDEBF7"/>
            <w:noWrap/>
            <w:vAlign w:val="bottom"/>
            <w:hideMark/>
          </w:tcPr>
          <w:p w14:paraId="07DF2E28" w14:textId="77777777" w:rsidR="00EB102D" w:rsidRPr="008E7016" w:rsidRDefault="00EB102D" w:rsidP="00EB1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9,260 </w:t>
            </w:r>
          </w:p>
        </w:tc>
      </w:tr>
    </w:tbl>
    <w:p w14:paraId="7DAB586E" w14:textId="77777777" w:rsidR="00EB102D" w:rsidRDefault="00EB102D">
      <w:pPr>
        <w:rPr>
          <w:b/>
        </w:rPr>
      </w:pPr>
    </w:p>
    <w:p w14:paraId="316C5CA3" w14:textId="77777777" w:rsidR="00EB102D" w:rsidRPr="00EB102D" w:rsidRDefault="00EB102D" w:rsidP="00EB102D"/>
    <w:p w14:paraId="252AA99D" w14:textId="77777777" w:rsidR="00EB102D" w:rsidRPr="00EB102D" w:rsidRDefault="00EB102D" w:rsidP="00EB102D"/>
    <w:p w14:paraId="70B9C20D" w14:textId="77777777" w:rsidR="00EB102D" w:rsidRDefault="00EB102D" w:rsidP="00EB102D"/>
    <w:p w14:paraId="21565AA5" w14:textId="77777777" w:rsidR="00A54057" w:rsidRDefault="00A54057" w:rsidP="00EB102D"/>
    <w:p w14:paraId="08E03167" w14:textId="77777777" w:rsidR="00EB102D" w:rsidRDefault="00EB102D" w:rsidP="00EB102D"/>
    <w:p w14:paraId="1BD3FE82" w14:textId="77777777" w:rsidR="00EB102D" w:rsidRDefault="00EB102D" w:rsidP="00EB102D"/>
    <w:p w14:paraId="2ED77CA5" w14:textId="77777777" w:rsidR="00EB102D" w:rsidRDefault="00EB102D" w:rsidP="00EB102D"/>
    <w:p w14:paraId="1BD5A15B" w14:textId="77777777" w:rsidR="00EB102D" w:rsidRDefault="00EB102D" w:rsidP="00EB102D"/>
    <w:p w14:paraId="6D9BEA9C" w14:textId="77777777" w:rsidR="00EB102D" w:rsidRDefault="00EB102D" w:rsidP="00EB102D"/>
    <w:p w14:paraId="1184589D" w14:textId="77777777" w:rsidR="00EB102D" w:rsidRPr="00EB102D" w:rsidRDefault="00EB102D" w:rsidP="00EB10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2116"/>
        <w:gridCol w:w="2109"/>
      </w:tblGrid>
      <w:tr w:rsidR="00AA04C8" w:rsidRPr="00AA04C8" w14:paraId="3052BECF" w14:textId="77777777" w:rsidTr="00DE0EFB">
        <w:tc>
          <w:tcPr>
            <w:tcW w:w="3145" w:type="dxa"/>
          </w:tcPr>
          <w:p w14:paraId="1D482EEB" w14:textId="77777777" w:rsidR="00AA04C8" w:rsidRPr="00AA04C8" w:rsidRDefault="0003696A" w:rsidP="004130A5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="00AA04C8" w:rsidRPr="00AA04C8">
              <w:rPr>
                <w:b/>
              </w:rPr>
              <w:t xml:space="preserve">Staffing Reductions due to potential </w:t>
            </w:r>
            <w:r w:rsidR="00EC1440">
              <w:rPr>
                <w:b/>
              </w:rPr>
              <w:t>functional eligibility</w:t>
            </w:r>
            <w:r w:rsidR="00AA04C8" w:rsidRPr="00AA04C8">
              <w:rPr>
                <w:b/>
              </w:rPr>
              <w:t xml:space="preserve"> </w:t>
            </w:r>
            <w:r w:rsidR="00EC1440">
              <w:rPr>
                <w:b/>
              </w:rPr>
              <w:t xml:space="preserve">changes:  Assuming roughly </w:t>
            </w:r>
            <w:r w:rsidR="007B72D6" w:rsidRPr="00196C9B">
              <w:rPr>
                <w:b/>
              </w:rPr>
              <w:t>9,</w:t>
            </w:r>
            <w:r w:rsidR="004130A5" w:rsidRPr="00196C9B">
              <w:rPr>
                <w:b/>
              </w:rPr>
              <w:t>3</w:t>
            </w:r>
            <w:r w:rsidR="007B72D6" w:rsidRPr="00196C9B">
              <w:rPr>
                <w:b/>
              </w:rPr>
              <w:t>00</w:t>
            </w:r>
            <w:r w:rsidR="00EC1440">
              <w:rPr>
                <w:b/>
              </w:rPr>
              <w:t xml:space="preserve"> client</w:t>
            </w:r>
            <w:r w:rsidR="00A700F3">
              <w:rPr>
                <w:b/>
              </w:rPr>
              <w:t>s</w:t>
            </w:r>
            <w:r w:rsidR="00EC1440">
              <w:rPr>
                <w:b/>
              </w:rPr>
              <w:t xml:space="preserve"> lose services</w:t>
            </w:r>
            <w:r w:rsidR="00966B85">
              <w:rPr>
                <w:b/>
              </w:rPr>
              <w:t xml:space="preserve"> and need for case management and financial eligibility maintenance</w:t>
            </w:r>
          </w:p>
        </w:tc>
        <w:tc>
          <w:tcPr>
            <w:tcW w:w="1620" w:type="dxa"/>
          </w:tcPr>
          <w:p w14:paraId="753CA377" w14:textId="77777777" w:rsidR="00AA04C8" w:rsidRPr="00AA04C8" w:rsidRDefault="002B2BC5" w:rsidP="002B2BC5">
            <w:pPr>
              <w:rPr>
                <w:b/>
              </w:rPr>
            </w:pPr>
            <w:r>
              <w:rPr>
                <w:b/>
              </w:rPr>
              <w:t xml:space="preserve">Biennial </w:t>
            </w:r>
            <w:r w:rsidR="00AA04C8" w:rsidRPr="00AA04C8">
              <w:rPr>
                <w:b/>
              </w:rPr>
              <w:t xml:space="preserve">FTE </w:t>
            </w:r>
          </w:p>
        </w:tc>
        <w:tc>
          <w:tcPr>
            <w:tcW w:w="2116" w:type="dxa"/>
          </w:tcPr>
          <w:p w14:paraId="325811FB" w14:textId="77777777" w:rsidR="00AA04C8" w:rsidRPr="00AA04C8" w:rsidRDefault="002B2BC5" w:rsidP="004657CC">
            <w:pPr>
              <w:rPr>
                <w:b/>
              </w:rPr>
            </w:pPr>
            <w:r>
              <w:rPr>
                <w:b/>
              </w:rPr>
              <w:t xml:space="preserve">Biennial </w:t>
            </w:r>
            <w:r w:rsidR="00AA04C8" w:rsidRPr="00AA04C8">
              <w:rPr>
                <w:b/>
              </w:rPr>
              <w:t>GF-S</w:t>
            </w:r>
          </w:p>
        </w:tc>
        <w:tc>
          <w:tcPr>
            <w:tcW w:w="2109" w:type="dxa"/>
          </w:tcPr>
          <w:p w14:paraId="77B6867F" w14:textId="77777777" w:rsidR="00AA04C8" w:rsidRPr="00AA04C8" w:rsidRDefault="002B2BC5" w:rsidP="004657CC">
            <w:pPr>
              <w:rPr>
                <w:b/>
              </w:rPr>
            </w:pPr>
            <w:r>
              <w:rPr>
                <w:b/>
              </w:rPr>
              <w:t xml:space="preserve">Biennial </w:t>
            </w:r>
            <w:r w:rsidR="00AA04C8" w:rsidRPr="00AA04C8">
              <w:rPr>
                <w:b/>
              </w:rPr>
              <w:t>Total Funds</w:t>
            </w:r>
          </w:p>
        </w:tc>
      </w:tr>
      <w:tr w:rsidR="00AA04C8" w:rsidRPr="00196C9B" w14:paraId="2FA903C2" w14:textId="77777777" w:rsidTr="00DE0EFB">
        <w:tc>
          <w:tcPr>
            <w:tcW w:w="3145" w:type="dxa"/>
          </w:tcPr>
          <w:p w14:paraId="716ECAA9" w14:textId="77777777" w:rsidR="00AA04C8" w:rsidRPr="00196C9B" w:rsidRDefault="00AA04C8" w:rsidP="004657CC">
            <w:r w:rsidRPr="00196C9B">
              <w:t>AAA</w:t>
            </w:r>
          </w:p>
        </w:tc>
        <w:tc>
          <w:tcPr>
            <w:tcW w:w="1620" w:type="dxa"/>
          </w:tcPr>
          <w:p w14:paraId="4261AFD4" w14:textId="77777777" w:rsidR="00AA04C8" w:rsidRPr="00196C9B" w:rsidRDefault="00AA04C8" w:rsidP="004657CC"/>
        </w:tc>
        <w:tc>
          <w:tcPr>
            <w:tcW w:w="2116" w:type="dxa"/>
          </w:tcPr>
          <w:p w14:paraId="38A32A5D" w14:textId="77777777" w:rsidR="00AA04C8" w:rsidRPr="00196C9B" w:rsidRDefault="0003696A" w:rsidP="002B2BC5">
            <w:r w:rsidRPr="00196C9B">
              <w:t>$</w:t>
            </w:r>
            <w:r w:rsidR="002B2BC5">
              <w:t>8,505</w:t>
            </w:r>
            <w:r w:rsidR="00AA04C8" w:rsidRPr="00196C9B">
              <w:t>,000</w:t>
            </w:r>
          </w:p>
        </w:tc>
        <w:tc>
          <w:tcPr>
            <w:tcW w:w="2109" w:type="dxa"/>
          </w:tcPr>
          <w:p w14:paraId="669CFD29" w14:textId="77777777" w:rsidR="00AA04C8" w:rsidRPr="00196C9B" w:rsidRDefault="0003696A" w:rsidP="002B2BC5">
            <w:r w:rsidRPr="00196C9B">
              <w:t>$</w:t>
            </w:r>
            <w:r w:rsidR="002B2BC5">
              <w:t>17,682</w:t>
            </w:r>
            <w:r w:rsidR="00AA04C8" w:rsidRPr="00196C9B">
              <w:t>,000</w:t>
            </w:r>
          </w:p>
        </w:tc>
      </w:tr>
      <w:tr w:rsidR="00AA04C8" w:rsidRPr="00196C9B" w14:paraId="0D88C55C" w14:textId="77777777" w:rsidTr="00DE0EFB">
        <w:tc>
          <w:tcPr>
            <w:tcW w:w="3145" w:type="dxa"/>
          </w:tcPr>
          <w:p w14:paraId="0201F89B" w14:textId="77777777" w:rsidR="00AA04C8" w:rsidRPr="00196C9B" w:rsidRDefault="00AA04C8" w:rsidP="004657CC">
            <w:r w:rsidRPr="00196C9B">
              <w:t>HCS</w:t>
            </w:r>
          </w:p>
        </w:tc>
        <w:tc>
          <w:tcPr>
            <w:tcW w:w="1620" w:type="dxa"/>
          </w:tcPr>
          <w:p w14:paraId="20AAFE98" w14:textId="77777777" w:rsidR="00AA04C8" w:rsidRPr="00196C9B" w:rsidRDefault="007B72D6" w:rsidP="004657CC">
            <w:r w:rsidRPr="00196C9B">
              <w:t>6</w:t>
            </w:r>
            <w:r w:rsidR="0003696A" w:rsidRPr="00196C9B">
              <w:t>9.6</w:t>
            </w:r>
          </w:p>
        </w:tc>
        <w:tc>
          <w:tcPr>
            <w:tcW w:w="2116" w:type="dxa"/>
          </w:tcPr>
          <w:p w14:paraId="5AF5CE1C" w14:textId="77777777" w:rsidR="00AA04C8" w:rsidRPr="00196C9B" w:rsidRDefault="0003696A" w:rsidP="002B2BC5">
            <w:r w:rsidRPr="00196C9B">
              <w:t>$</w:t>
            </w:r>
            <w:r w:rsidR="002B2BC5">
              <w:t>8,111</w:t>
            </w:r>
            <w:r w:rsidRPr="00196C9B">
              <w:t>,000</w:t>
            </w:r>
          </w:p>
        </w:tc>
        <w:tc>
          <w:tcPr>
            <w:tcW w:w="2109" w:type="dxa"/>
          </w:tcPr>
          <w:p w14:paraId="22F0DE31" w14:textId="77777777" w:rsidR="00AA04C8" w:rsidRPr="00196C9B" w:rsidRDefault="0003696A" w:rsidP="002B2BC5">
            <w:r w:rsidRPr="00196C9B">
              <w:t>$</w:t>
            </w:r>
            <w:r w:rsidR="002B2BC5">
              <w:t>16,218</w:t>
            </w:r>
            <w:r w:rsidRPr="00196C9B">
              <w:t>,000</w:t>
            </w:r>
          </w:p>
        </w:tc>
      </w:tr>
    </w:tbl>
    <w:p w14:paraId="53081FCE" w14:textId="77777777" w:rsidR="00A54057" w:rsidRDefault="00A54057">
      <w:pPr>
        <w:rPr>
          <w:b/>
        </w:rPr>
      </w:pPr>
    </w:p>
    <w:p w14:paraId="79B90350" w14:textId="77777777" w:rsidR="00EE45BE" w:rsidRPr="00F91751" w:rsidRDefault="00EE45BE" w:rsidP="00EE45BE">
      <w:pPr>
        <w:rPr>
          <w:rFonts w:cstheme="minorHAnsi"/>
          <w:b/>
        </w:rPr>
      </w:pPr>
      <w:r w:rsidRPr="00F91751">
        <w:rPr>
          <w:rFonts w:cstheme="minorHAnsi"/>
          <w:b/>
        </w:rPr>
        <w:lastRenderedPageBreak/>
        <w:t>The eligibility reduction that was modeled for this budget exercise would:</w:t>
      </w:r>
    </w:p>
    <w:p w14:paraId="49C12054" w14:textId="77777777" w:rsidR="00EE45BE" w:rsidRPr="00F91751" w:rsidRDefault="00EE45BE" w:rsidP="00EE45BE">
      <w:pPr>
        <w:pStyle w:val="ListParagraph"/>
        <w:numPr>
          <w:ilvl w:val="0"/>
          <w:numId w:val="2"/>
        </w:numPr>
        <w:rPr>
          <w:rFonts w:cstheme="minorHAnsi"/>
        </w:rPr>
      </w:pPr>
      <w:r w:rsidRPr="00F91751">
        <w:rPr>
          <w:rFonts w:cstheme="minorHAnsi"/>
        </w:rPr>
        <w:t xml:space="preserve">Eliminate the MPC program. </w:t>
      </w:r>
    </w:p>
    <w:p w14:paraId="1102118F" w14:textId="77777777" w:rsidR="00EE45BE" w:rsidRPr="00F91751" w:rsidRDefault="00EE45BE" w:rsidP="00EE45BE">
      <w:pPr>
        <w:pStyle w:val="ListParagraph"/>
        <w:numPr>
          <w:ilvl w:val="0"/>
          <w:numId w:val="2"/>
        </w:numPr>
        <w:rPr>
          <w:rFonts w:cstheme="minorHAnsi"/>
        </w:rPr>
      </w:pPr>
      <w:r w:rsidRPr="00F91751">
        <w:rPr>
          <w:rFonts w:cstheme="minorHAnsi"/>
        </w:rPr>
        <w:t xml:space="preserve">Change the NFLOC eligibility model to increase the functional impairment level required for eligibility in the following ways: </w:t>
      </w:r>
    </w:p>
    <w:p w14:paraId="176842AA" w14:textId="77777777" w:rsidR="00EE45BE" w:rsidRPr="00F91751" w:rsidRDefault="00EE45BE" w:rsidP="00EE45BE">
      <w:pPr>
        <w:pStyle w:val="ListParagraph"/>
        <w:numPr>
          <w:ilvl w:val="1"/>
          <w:numId w:val="2"/>
        </w:numPr>
        <w:rPr>
          <w:rFonts w:cstheme="minorHAnsi"/>
        </w:rPr>
      </w:pPr>
      <w:r w:rsidRPr="00F91751">
        <w:rPr>
          <w:rFonts w:cstheme="minorHAnsi"/>
        </w:rPr>
        <w:t>The method that previously required an unmet need</w:t>
      </w:r>
      <w:r>
        <w:rPr>
          <w:rFonts w:cstheme="minorHAnsi"/>
        </w:rPr>
        <w:t xml:space="preserve"> with at least three ADLs is changed to require an unmet need with at least four ADLs. Supervision and set up assistance only would not be considered. </w:t>
      </w:r>
    </w:p>
    <w:p w14:paraId="15D23194" w14:textId="77777777" w:rsidR="00EE45BE" w:rsidRPr="00F91751" w:rsidRDefault="00EE45BE" w:rsidP="00EE45BE">
      <w:pPr>
        <w:pStyle w:val="ListParagraph"/>
        <w:numPr>
          <w:ilvl w:val="1"/>
          <w:numId w:val="2"/>
        </w:numPr>
        <w:rPr>
          <w:rFonts w:cstheme="minorHAnsi"/>
        </w:rPr>
      </w:pPr>
      <w:r w:rsidRPr="00F91751">
        <w:rPr>
          <w:rFonts w:cstheme="minorHAnsi"/>
        </w:rPr>
        <w:t xml:space="preserve">The method that previously required an unmet need with at least two ADLs is increased to at least </w:t>
      </w:r>
      <w:r>
        <w:rPr>
          <w:rFonts w:cstheme="minorHAnsi"/>
        </w:rPr>
        <w:t>three</w:t>
      </w:r>
      <w:r w:rsidRPr="00F91751">
        <w:rPr>
          <w:rFonts w:cstheme="minorHAnsi"/>
        </w:rPr>
        <w:t xml:space="preserve"> ADLs. </w:t>
      </w:r>
      <w:r>
        <w:rPr>
          <w:rFonts w:cstheme="minorHAnsi"/>
        </w:rPr>
        <w:t xml:space="preserve">Assistance that </w:t>
      </w:r>
      <w:proofErr w:type="gramStart"/>
      <w:r>
        <w:rPr>
          <w:rFonts w:cstheme="minorHAnsi"/>
        </w:rPr>
        <w:t>didn’t</w:t>
      </w:r>
      <w:proofErr w:type="gramEnd"/>
      <w:r>
        <w:rPr>
          <w:rFonts w:cstheme="minorHAnsi"/>
        </w:rPr>
        <w:t xml:space="preserve"> occur because there was no provider available would not be considered for some ADLs. </w:t>
      </w:r>
      <w:r w:rsidRPr="00F91751">
        <w:rPr>
          <w:rFonts w:cstheme="minorHAnsi"/>
        </w:rPr>
        <w:t xml:space="preserve">When Medication Management is one of the ADLs identified, it has changed from requiring assistance at any frequency to needing daily assistance. </w:t>
      </w:r>
    </w:p>
    <w:p w14:paraId="3BC4A89F" w14:textId="77777777" w:rsidR="00EE45BE" w:rsidRPr="00F91751" w:rsidRDefault="00EE45BE" w:rsidP="00EE45BE">
      <w:pPr>
        <w:pStyle w:val="ListParagraph"/>
        <w:numPr>
          <w:ilvl w:val="1"/>
          <w:numId w:val="2"/>
        </w:numPr>
        <w:rPr>
          <w:rFonts w:cstheme="minorHAnsi"/>
        </w:rPr>
      </w:pPr>
      <w:r w:rsidRPr="00F91751">
        <w:rPr>
          <w:rFonts w:cstheme="minorHAnsi"/>
        </w:rPr>
        <w:t xml:space="preserve">The method that previously required an unmet need with at least one ADL in addition to a cognitive impairment </w:t>
      </w:r>
      <w:r>
        <w:rPr>
          <w:rFonts w:cstheme="minorHAnsi"/>
        </w:rPr>
        <w:t>would not change in relation to the ADL needs; however, t</w:t>
      </w:r>
      <w:r w:rsidRPr="00F91751">
        <w:rPr>
          <w:rFonts w:cstheme="minorHAnsi"/>
        </w:rPr>
        <w:t xml:space="preserve">he data elements that compose identification of “cognitive impairment” have changed. </w:t>
      </w:r>
    </w:p>
    <w:p w14:paraId="0285BBE6" w14:textId="77777777" w:rsidR="00EE45BE" w:rsidRPr="00F91751" w:rsidRDefault="00EE45BE" w:rsidP="00EE45BE">
      <w:pPr>
        <w:pStyle w:val="ListParagraph"/>
        <w:numPr>
          <w:ilvl w:val="1"/>
          <w:numId w:val="2"/>
        </w:numPr>
        <w:rPr>
          <w:rFonts w:cstheme="minorHAnsi"/>
        </w:rPr>
      </w:pPr>
      <w:r w:rsidRPr="00F91751">
        <w:rPr>
          <w:rFonts w:cstheme="minorHAnsi"/>
        </w:rPr>
        <w:t>Removes the ability for a client to decline assistance and become eligible.</w:t>
      </w:r>
    </w:p>
    <w:p w14:paraId="5F861BC1" w14:textId="77777777" w:rsidR="00EE45BE" w:rsidRDefault="00EE45BE" w:rsidP="00EE45BE">
      <w:pPr>
        <w:pStyle w:val="ListParagraph"/>
        <w:numPr>
          <w:ilvl w:val="1"/>
          <w:numId w:val="2"/>
        </w:numPr>
        <w:rPr>
          <w:rFonts w:cstheme="minorHAnsi"/>
        </w:rPr>
      </w:pPr>
      <w:r w:rsidRPr="00F91751">
        <w:rPr>
          <w:rFonts w:cstheme="minorHAnsi"/>
        </w:rPr>
        <w:t xml:space="preserve">Narrows the situations where a client can become eligible because an activity </w:t>
      </w:r>
      <w:proofErr w:type="gramStart"/>
      <w:r w:rsidRPr="00F91751">
        <w:rPr>
          <w:rFonts w:cstheme="minorHAnsi"/>
        </w:rPr>
        <w:t>didn’t</w:t>
      </w:r>
      <w:proofErr w:type="gramEnd"/>
      <w:r w:rsidRPr="00F91751">
        <w:rPr>
          <w:rFonts w:cstheme="minorHAnsi"/>
        </w:rPr>
        <w:t xml:space="preserve"> occur because they didn’t have a caregiver but would have accepted assistance if they had a caregiver.</w:t>
      </w:r>
    </w:p>
    <w:p w14:paraId="36E3939B" w14:textId="77777777" w:rsidR="00196C9B" w:rsidRDefault="00196C9B" w:rsidP="00196C9B">
      <w:pPr>
        <w:pStyle w:val="ListParagraph"/>
        <w:ind w:left="770"/>
        <w:rPr>
          <w:rFonts w:cstheme="minorHAnsi"/>
        </w:rPr>
      </w:pPr>
    </w:p>
    <w:p w14:paraId="53A27FA4" w14:textId="77777777" w:rsidR="007B72D6" w:rsidRPr="005805A9" w:rsidRDefault="00196C9B" w:rsidP="00AA1E78">
      <w:pPr>
        <w:pStyle w:val="ListParagraph"/>
        <w:numPr>
          <w:ilvl w:val="0"/>
          <w:numId w:val="2"/>
        </w:numPr>
        <w:rPr>
          <w:b/>
        </w:rPr>
      </w:pPr>
      <w:r w:rsidRPr="005805A9">
        <w:rPr>
          <w:rFonts w:cstheme="minorHAnsi"/>
        </w:rPr>
        <w:t>Statute requires that if cuts are necessary that they be done in a way that impacts the least needy first.  Nursing Facility Level of Care is determined through unmet need for assistance with activities of daily living and daily nursing need</w:t>
      </w:r>
      <w:r w:rsidR="005805A9" w:rsidRPr="005805A9">
        <w:rPr>
          <w:rFonts w:cstheme="minorHAnsi"/>
        </w:rPr>
        <w:t xml:space="preserve">.  In this eligibility cut, individuals with a lower level of unmet need for activities of daily living are impacted which may include individuals whose need for personal care services </w:t>
      </w:r>
      <w:r w:rsidR="00677088">
        <w:rPr>
          <w:rFonts w:cstheme="minorHAnsi"/>
        </w:rPr>
        <w:t>are related to supervision and c</w:t>
      </w:r>
      <w:r w:rsidR="005805A9" w:rsidRPr="005805A9">
        <w:rPr>
          <w:rFonts w:cstheme="minorHAnsi"/>
        </w:rPr>
        <w:t xml:space="preserve">ueing.  The population that this most impacts includes individuals whose need for services is primarily due functional impairments due to behavioral health, Traumatic Brain Injury, early diagnoses of dementia, etc.  </w:t>
      </w:r>
      <w:r w:rsidRPr="005805A9">
        <w:rPr>
          <w:rFonts w:cstheme="minorHAnsi"/>
        </w:rPr>
        <w:t xml:space="preserve"> </w:t>
      </w:r>
    </w:p>
    <w:p w14:paraId="1C07AAB8" w14:textId="77777777" w:rsidR="000574A6" w:rsidRPr="000574A6" w:rsidRDefault="000574A6" w:rsidP="000574A6">
      <w:pPr>
        <w:rPr>
          <w:b/>
          <w:sz w:val="28"/>
          <w:szCs w:val="28"/>
        </w:rPr>
      </w:pPr>
      <w:r w:rsidRPr="000574A6">
        <w:rPr>
          <w:b/>
          <w:sz w:val="28"/>
          <w:szCs w:val="28"/>
        </w:rPr>
        <w:t xml:space="preserve">ALTSA SFY22 Budget Reduction Exercise:  Estimated Client Eligibility Cuts </w:t>
      </w:r>
      <w:r>
        <w:rPr>
          <w:b/>
          <w:sz w:val="28"/>
          <w:szCs w:val="28"/>
        </w:rPr>
        <w:t>– 2.4%</w:t>
      </w:r>
    </w:p>
    <w:tbl>
      <w:tblPr>
        <w:tblW w:w="11098" w:type="dxa"/>
        <w:tblLook w:val="04A0" w:firstRow="1" w:lastRow="0" w:firstColumn="1" w:lastColumn="0" w:noHBand="0" w:noVBand="1"/>
      </w:tblPr>
      <w:tblGrid>
        <w:gridCol w:w="1980"/>
        <w:gridCol w:w="1017"/>
        <w:gridCol w:w="1053"/>
        <w:gridCol w:w="1170"/>
        <w:gridCol w:w="1200"/>
        <w:gridCol w:w="1096"/>
        <w:gridCol w:w="1151"/>
        <w:gridCol w:w="1151"/>
        <w:gridCol w:w="1280"/>
      </w:tblGrid>
      <w:tr w:rsidR="000574A6" w:rsidRPr="000574A6" w14:paraId="76C41F81" w14:textId="77777777" w:rsidTr="003B5DF3">
        <w:trPr>
          <w:trHeight w:val="300"/>
        </w:trPr>
        <w:tc>
          <w:tcPr>
            <w:tcW w:w="110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1D26" w14:textId="77777777" w:rsidR="000574A6" w:rsidRPr="000574A6" w:rsidRDefault="000574A6" w:rsidP="0005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FY22 Provider Rate Cuts of 2.4% (Based Upon Summer 2020 Forecast)</w:t>
            </w:r>
          </w:p>
        </w:tc>
      </w:tr>
      <w:tr w:rsidR="000574A6" w:rsidRPr="000574A6" w14:paraId="72A2746A" w14:textId="77777777" w:rsidTr="003B5DF3">
        <w:trPr>
          <w:trHeight w:val="750"/>
        </w:trPr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5CF99CDC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ALTSA</w:t>
            </w:r>
          </w:p>
        </w:tc>
        <w:tc>
          <w:tcPr>
            <w:tcW w:w="1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6F038DA5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Caseload 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765DD81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Per Cap 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0937F2F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State %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42703336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Federal % 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65697DC6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Per </w:t>
            </w: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Cap Reduction 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1B0B08F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State</w:t>
            </w:r>
            <w:r w:rsidR="003B5D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Savings</w:t>
            </w: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1164DFF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Federal</w:t>
            </w:r>
            <w:r w:rsidR="003B5D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Savings</w:t>
            </w: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2EFDA"/>
            <w:vAlign w:val="bottom"/>
            <w:hideMark/>
          </w:tcPr>
          <w:p w14:paraId="65F13C48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Total</w:t>
            </w:r>
            <w:r w:rsidR="003B5D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Savings</w:t>
            </w:r>
            <w:r w:rsidRPr="000574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574A6" w:rsidRPr="000574A6" w14:paraId="77EE3F69" w14:textId="77777777" w:rsidTr="003B5DF3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F3AD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Adult Day Health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6B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764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F6B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741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638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3C3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3542C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(18)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D7C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(82,000)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52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(82,000)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7863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(164,000)</w:t>
            </w:r>
          </w:p>
        </w:tc>
      </w:tr>
      <w:tr w:rsidR="000574A6" w:rsidRPr="000574A6" w14:paraId="2A1A233D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9FF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Adult Family Homes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003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8,535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3BA8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3,705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A56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119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308CE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(89)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81B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(4,199,000)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B3E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(4,908,000)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98DC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(9,107,000)</w:t>
            </w:r>
          </w:p>
        </w:tc>
      </w:tr>
      <w:tr w:rsidR="000574A6" w:rsidRPr="000574A6" w14:paraId="3D6B6762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39E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Adult Residential Care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B0A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3,381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33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2,711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158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E61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0E3B6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(65)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916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(1,259,000)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5040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(1,381,000)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5855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(2,640,000)</w:t>
            </w:r>
          </w:p>
        </w:tc>
      </w:tr>
      <w:tr w:rsidR="000574A6" w:rsidRPr="000574A6" w14:paraId="75753DD7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DE6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Assisted Living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ABE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3,640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4AB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1,345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2E3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F7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53.3%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3671F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(32)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9DE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(659,000)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25C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(751,000)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CEE0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(1,410,000)</w:t>
            </w:r>
          </w:p>
        </w:tc>
      </w:tr>
      <w:tr w:rsidR="000574A6" w:rsidRPr="000574A6" w14:paraId="60793B1E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27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Agency Providers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F0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15,950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406B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2,286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3BE2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66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56.2%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406E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(55)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72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(4,600,000)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B7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(5,900,000)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7E6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(10,500,000)</w:t>
            </w:r>
          </w:p>
        </w:tc>
      </w:tr>
      <w:tr w:rsidR="000574A6" w:rsidRPr="000574A6" w14:paraId="72457D5B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317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Individual Providers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A02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32,222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E35C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2,818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244E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7CA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56.2%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0FD4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(68)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121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(11,457,000)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6FD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(14,693,000)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7E9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(26,150,000)</w:t>
            </w:r>
          </w:p>
        </w:tc>
      </w:tr>
      <w:tr w:rsidR="000574A6" w:rsidRPr="000574A6" w14:paraId="30585F72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EF7C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Managed Care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69C0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1,156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E6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2,747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CCCF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F2C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50.6%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64E87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(66)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9C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(452,000)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7C9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(463,000)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9D25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(915,000)</w:t>
            </w:r>
          </w:p>
        </w:tc>
      </w:tr>
      <w:tr w:rsidR="000574A6" w:rsidRPr="000574A6" w14:paraId="38C98776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6B6F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Nursing Homes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650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9,392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AD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7,022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BC92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EDE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8827B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(169)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52F2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(9,303,000)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27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(9,690,000)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D8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(18,993,000)</w:t>
            </w:r>
          </w:p>
        </w:tc>
      </w:tr>
      <w:tr w:rsidR="000574A6" w:rsidRPr="000574A6" w14:paraId="090DA563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0C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Private Duty Nursing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3D79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132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054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18,391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E3B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91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49.9%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56E3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(441)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EE5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(350,000)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CE4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(348,000)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5F3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(698,000)</w:t>
            </w:r>
          </w:p>
        </w:tc>
      </w:tr>
      <w:tr w:rsidR="000574A6" w:rsidRPr="000574A6" w14:paraId="354480AF" w14:textId="77777777" w:rsidTr="003B5DF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89B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ESF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785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156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7E71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455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90EA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2F03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49.6%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23CF0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(11)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9B87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(10,000)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69CD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(10,000)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BC8E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(20,000)</w:t>
            </w:r>
          </w:p>
        </w:tc>
      </w:tr>
      <w:tr w:rsidR="000574A6" w:rsidRPr="000574A6" w14:paraId="67D6FE1F" w14:textId="77777777" w:rsidTr="003B5DF3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97F09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3E5C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40AD6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0B584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79DF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DE02F96" w14:textId="77777777" w:rsidR="000574A6" w:rsidRPr="000574A6" w:rsidRDefault="000574A6" w:rsidP="00057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E6395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(32,371,000)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F400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(38,226,000)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7C114" w14:textId="77777777" w:rsidR="000574A6" w:rsidRPr="000574A6" w:rsidRDefault="000574A6" w:rsidP="000574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74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(70,597,000)</w:t>
            </w:r>
          </w:p>
        </w:tc>
      </w:tr>
    </w:tbl>
    <w:p w14:paraId="3DDFCDA5" w14:textId="77777777" w:rsidR="000574A6" w:rsidRDefault="000574A6" w:rsidP="005726F3">
      <w:pPr>
        <w:rPr>
          <w:b/>
        </w:rPr>
      </w:pPr>
    </w:p>
    <w:sectPr w:rsidR="000574A6" w:rsidSect="009114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A22A4"/>
    <w:multiLevelType w:val="hybridMultilevel"/>
    <w:tmpl w:val="59545FC2"/>
    <w:lvl w:ilvl="0" w:tplc="653655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18FB"/>
    <w:multiLevelType w:val="hybridMultilevel"/>
    <w:tmpl w:val="FF6ED49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8A6263C"/>
    <w:multiLevelType w:val="hybridMultilevel"/>
    <w:tmpl w:val="3A563EA2"/>
    <w:lvl w:ilvl="0" w:tplc="653655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17EE"/>
    <w:multiLevelType w:val="hybridMultilevel"/>
    <w:tmpl w:val="5A82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A2EB8"/>
    <w:multiLevelType w:val="hybridMultilevel"/>
    <w:tmpl w:val="5942B6B4"/>
    <w:lvl w:ilvl="0" w:tplc="AEB62EF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  <w:color w:val="1F4E79" w:themeColor="accent1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2D"/>
    <w:rsid w:val="0003696A"/>
    <w:rsid w:val="000574A6"/>
    <w:rsid w:val="0006395E"/>
    <w:rsid w:val="00072A7E"/>
    <w:rsid w:val="00096CC0"/>
    <w:rsid w:val="000B72CF"/>
    <w:rsid w:val="00196C9B"/>
    <w:rsid w:val="00203534"/>
    <w:rsid w:val="002B2BC5"/>
    <w:rsid w:val="003B5DF3"/>
    <w:rsid w:val="003F1D44"/>
    <w:rsid w:val="004130A5"/>
    <w:rsid w:val="004549DF"/>
    <w:rsid w:val="0046462D"/>
    <w:rsid w:val="004B7ACB"/>
    <w:rsid w:val="004D469E"/>
    <w:rsid w:val="0051450A"/>
    <w:rsid w:val="005726F3"/>
    <w:rsid w:val="005805A9"/>
    <w:rsid w:val="00634DA3"/>
    <w:rsid w:val="00677088"/>
    <w:rsid w:val="006C6625"/>
    <w:rsid w:val="00743814"/>
    <w:rsid w:val="007A153D"/>
    <w:rsid w:val="007A1AF2"/>
    <w:rsid w:val="007B72D6"/>
    <w:rsid w:val="007D1E78"/>
    <w:rsid w:val="0081571B"/>
    <w:rsid w:val="00817ABC"/>
    <w:rsid w:val="008B3477"/>
    <w:rsid w:val="008E7016"/>
    <w:rsid w:val="00911482"/>
    <w:rsid w:val="00966B85"/>
    <w:rsid w:val="009A1063"/>
    <w:rsid w:val="009F468A"/>
    <w:rsid w:val="00A067FC"/>
    <w:rsid w:val="00A16B93"/>
    <w:rsid w:val="00A34514"/>
    <w:rsid w:val="00A53F53"/>
    <w:rsid w:val="00A54057"/>
    <w:rsid w:val="00A700F3"/>
    <w:rsid w:val="00A86019"/>
    <w:rsid w:val="00AA04C8"/>
    <w:rsid w:val="00B71888"/>
    <w:rsid w:val="00C53FF3"/>
    <w:rsid w:val="00CE6C5F"/>
    <w:rsid w:val="00D0203E"/>
    <w:rsid w:val="00D56AB7"/>
    <w:rsid w:val="00DE0EFB"/>
    <w:rsid w:val="00E22071"/>
    <w:rsid w:val="00E46819"/>
    <w:rsid w:val="00EA155A"/>
    <w:rsid w:val="00EB102D"/>
    <w:rsid w:val="00EC1440"/>
    <w:rsid w:val="00EC698E"/>
    <w:rsid w:val="00ED7EC4"/>
    <w:rsid w:val="00EE45BE"/>
    <w:rsid w:val="00F04F4E"/>
    <w:rsid w:val="00F24764"/>
    <w:rsid w:val="00FE0DEA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1065"/>
  <w15:chartTrackingRefBased/>
  <w15:docId w15:val="{8FCD83B0-9FF2-4435-89C9-27ED9093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1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0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6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C698E"/>
    <w:rPr>
      <w:b/>
      <w:bCs/>
    </w:rPr>
  </w:style>
  <w:style w:type="paragraph" w:styleId="NormalWeb">
    <w:name w:val="Normal (Web)"/>
    <w:basedOn w:val="Normal"/>
    <w:uiPriority w:val="99"/>
    <w:unhideWhenUsed/>
    <w:rsid w:val="00EC698E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4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2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0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67D6D.48165A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fm.wa.gov/sites/default/files/public/budget/documents/ActionsCaptureOperatingBudgetSaving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DSHS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Rector, Bea-Alise (DSHS/ALTSA)</dc:creator>
  <cp:keywords/>
  <dc:description/>
  <cp:lastModifiedBy>Ramona Hattendorf</cp:lastModifiedBy>
  <cp:revision>2</cp:revision>
  <dcterms:created xsi:type="dcterms:W3CDTF">2020-09-17T11:29:00Z</dcterms:created>
  <dcterms:modified xsi:type="dcterms:W3CDTF">2020-09-17T11:29:00Z</dcterms:modified>
</cp:coreProperties>
</file>