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EB4F2" w14:textId="77777777" w:rsidR="00D5034D" w:rsidRDefault="00D5034D" w:rsidP="008B2385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b/>
          <w:sz w:val="24"/>
          <w:szCs w:val="24"/>
        </w:rPr>
        <w:t>Medicaid Access Rule Background</w:t>
      </w:r>
    </w:p>
    <w:p w14:paraId="48507996" w14:textId="77777777" w:rsidR="00D5034D" w:rsidRDefault="00D5034D" w:rsidP="008B2385">
      <w:pPr>
        <w:spacing w:line="240" w:lineRule="auto"/>
        <w:rPr>
          <w:rFonts w:ascii="Trebuchet MS" w:hAnsi="Trebuchet MS"/>
          <w:b/>
          <w:sz w:val="24"/>
          <w:szCs w:val="24"/>
        </w:rPr>
      </w:pPr>
    </w:p>
    <w:p w14:paraId="525548E1" w14:textId="2DFE53BB" w:rsidR="00B027B5" w:rsidRPr="001071D5" w:rsidRDefault="00D5034D" w:rsidP="008B2385">
      <w:pPr>
        <w:spacing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What is the Medicaid Access Rule</w:t>
      </w:r>
      <w:r w:rsidR="002D093C">
        <w:rPr>
          <w:rFonts w:ascii="Trebuchet MS" w:hAnsi="Trebuchet MS"/>
          <w:b/>
          <w:sz w:val="24"/>
          <w:szCs w:val="24"/>
        </w:rPr>
        <w:t>?</w:t>
      </w:r>
    </w:p>
    <w:p w14:paraId="2CD9D454" w14:textId="10DF09EC" w:rsidR="0041681E" w:rsidRDefault="007E606D" w:rsidP="00286ADC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 2011</w:t>
      </w:r>
      <w:r w:rsidR="002D093C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the </w:t>
      </w:r>
      <w:r w:rsidRPr="00063CAD">
        <w:rPr>
          <w:rFonts w:ascii="Trebuchet MS" w:hAnsi="Trebuchet MS"/>
          <w:sz w:val="24"/>
          <w:szCs w:val="24"/>
        </w:rPr>
        <w:t>Centers on Medicare and Medicaid Services</w:t>
      </w:r>
      <w:r>
        <w:rPr>
          <w:rFonts w:ascii="Trebuchet MS" w:hAnsi="Trebuchet MS"/>
          <w:sz w:val="24"/>
          <w:szCs w:val="24"/>
        </w:rPr>
        <w:t xml:space="preserve"> (CMS) issued a proposed rule that provided </w:t>
      </w:r>
      <w:r w:rsidR="001B74A7" w:rsidRPr="001B74A7">
        <w:rPr>
          <w:rFonts w:ascii="Trebuchet MS" w:hAnsi="Trebuchet MS"/>
          <w:sz w:val="24"/>
          <w:szCs w:val="24"/>
        </w:rPr>
        <w:t xml:space="preserve">numerous ways to strengthen and support states in meeting the requirement that </w:t>
      </w:r>
      <w:r w:rsidR="000E1668">
        <w:rPr>
          <w:rFonts w:ascii="Trebuchet MS" w:hAnsi="Trebuchet MS"/>
          <w:sz w:val="24"/>
          <w:szCs w:val="24"/>
        </w:rPr>
        <w:t xml:space="preserve">reimbursement </w:t>
      </w:r>
      <w:r w:rsidR="001B74A7" w:rsidRPr="001B74A7">
        <w:rPr>
          <w:rFonts w:ascii="Trebuchet MS" w:hAnsi="Trebuchet MS"/>
          <w:sz w:val="24"/>
          <w:szCs w:val="24"/>
        </w:rPr>
        <w:t xml:space="preserve">rates are adequate to protect access to </w:t>
      </w:r>
      <w:r w:rsidR="000E1668">
        <w:rPr>
          <w:rFonts w:ascii="Trebuchet MS" w:hAnsi="Trebuchet MS"/>
          <w:sz w:val="24"/>
          <w:szCs w:val="24"/>
        </w:rPr>
        <w:t xml:space="preserve">Medicaid </w:t>
      </w:r>
      <w:r w:rsidR="001B74A7" w:rsidRPr="001B74A7">
        <w:rPr>
          <w:rFonts w:ascii="Trebuchet MS" w:hAnsi="Trebuchet MS"/>
          <w:sz w:val="24"/>
          <w:szCs w:val="24"/>
        </w:rPr>
        <w:t>services</w:t>
      </w:r>
      <w:r w:rsidR="000E1668">
        <w:rPr>
          <w:rFonts w:ascii="Trebuchet MS" w:hAnsi="Trebuchet MS"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</w:rPr>
        <w:t>The</w:t>
      </w:r>
      <w:r w:rsidR="000E1668">
        <w:rPr>
          <w:rFonts w:ascii="Trebuchet MS" w:hAnsi="Trebuchet MS"/>
          <w:sz w:val="24"/>
          <w:szCs w:val="24"/>
        </w:rPr>
        <w:t xml:space="preserve"> 2011</w:t>
      </w:r>
      <w:r>
        <w:rPr>
          <w:rFonts w:ascii="Trebuchet MS" w:hAnsi="Trebuchet MS"/>
          <w:sz w:val="24"/>
          <w:szCs w:val="24"/>
        </w:rPr>
        <w:t xml:space="preserve"> Notice of Proposed Rulemaking e</w:t>
      </w:r>
      <w:r w:rsidR="00B027B5" w:rsidRPr="00063CAD">
        <w:rPr>
          <w:rFonts w:ascii="Trebuchet MS" w:hAnsi="Trebuchet MS"/>
          <w:sz w:val="24"/>
          <w:szCs w:val="24"/>
        </w:rPr>
        <w:t>stablish</w:t>
      </w:r>
      <w:r>
        <w:rPr>
          <w:rFonts w:ascii="Trebuchet MS" w:hAnsi="Trebuchet MS"/>
          <w:sz w:val="24"/>
          <w:szCs w:val="24"/>
        </w:rPr>
        <w:t>ed</w:t>
      </w:r>
      <w:r w:rsidR="00B027B5" w:rsidRPr="00063CAD">
        <w:rPr>
          <w:rFonts w:ascii="Trebuchet MS" w:hAnsi="Trebuchet MS"/>
          <w:sz w:val="24"/>
          <w:szCs w:val="24"/>
        </w:rPr>
        <w:t xml:space="preserve"> a process for the states to </w:t>
      </w:r>
      <w:r>
        <w:rPr>
          <w:rFonts w:ascii="Trebuchet MS" w:hAnsi="Trebuchet MS"/>
          <w:sz w:val="24"/>
          <w:szCs w:val="24"/>
        </w:rPr>
        <w:t xml:space="preserve">review and </w:t>
      </w:r>
      <w:r w:rsidR="00B027B5" w:rsidRPr="00063CAD">
        <w:rPr>
          <w:rFonts w:ascii="Trebuchet MS" w:hAnsi="Trebuchet MS"/>
          <w:sz w:val="24"/>
          <w:szCs w:val="24"/>
        </w:rPr>
        <w:t xml:space="preserve">report to CMS </w:t>
      </w:r>
      <w:r w:rsidR="00286ADC">
        <w:rPr>
          <w:rFonts w:ascii="Trebuchet MS" w:hAnsi="Trebuchet MS"/>
          <w:sz w:val="24"/>
          <w:szCs w:val="24"/>
        </w:rPr>
        <w:t xml:space="preserve">on the </w:t>
      </w:r>
      <w:r w:rsidR="00B027B5" w:rsidRPr="00063CAD">
        <w:rPr>
          <w:rFonts w:ascii="Trebuchet MS" w:hAnsi="Trebuchet MS"/>
          <w:sz w:val="24"/>
          <w:szCs w:val="24"/>
        </w:rPr>
        <w:t xml:space="preserve">adequacy of </w:t>
      </w:r>
      <w:r w:rsidR="00286ADC">
        <w:rPr>
          <w:rFonts w:ascii="Trebuchet MS" w:hAnsi="Trebuchet MS"/>
          <w:sz w:val="24"/>
          <w:szCs w:val="24"/>
        </w:rPr>
        <w:t xml:space="preserve">reimbursement </w:t>
      </w:r>
      <w:r w:rsidR="00B027B5" w:rsidRPr="00063CAD">
        <w:rPr>
          <w:rFonts w:ascii="Trebuchet MS" w:hAnsi="Trebuchet MS"/>
          <w:sz w:val="24"/>
          <w:szCs w:val="24"/>
        </w:rPr>
        <w:t>rates</w:t>
      </w:r>
      <w:r w:rsidR="008B2385">
        <w:rPr>
          <w:rFonts w:ascii="Trebuchet MS" w:hAnsi="Trebuchet MS"/>
          <w:sz w:val="24"/>
          <w:szCs w:val="24"/>
        </w:rPr>
        <w:t>. It p</w:t>
      </w:r>
      <w:r w:rsidR="00397213" w:rsidRPr="00063CAD">
        <w:rPr>
          <w:rFonts w:ascii="Trebuchet MS" w:hAnsi="Trebuchet MS"/>
          <w:sz w:val="24"/>
          <w:szCs w:val="24"/>
        </w:rPr>
        <w:t>rovide</w:t>
      </w:r>
      <w:r w:rsidR="008B2385">
        <w:rPr>
          <w:rFonts w:ascii="Trebuchet MS" w:hAnsi="Trebuchet MS"/>
          <w:sz w:val="24"/>
          <w:szCs w:val="24"/>
        </w:rPr>
        <w:t>d</w:t>
      </w:r>
      <w:r w:rsidR="00397213" w:rsidRPr="00063CAD">
        <w:rPr>
          <w:rFonts w:ascii="Trebuchet MS" w:hAnsi="Trebuchet MS"/>
          <w:sz w:val="24"/>
          <w:szCs w:val="24"/>
        </w:rPr>
        <w:t xml:space="preserve"> CMS with </w:t>
      </w:r>
      <w:r w:rsidR="000E1668">
        <w:rPr>
          <w:rFonts w:ascii="Trebuchet MS" w:hAnsi="Trebuchet MS"/>
          <w:sz w:val="24"/>
          <w:szCs w:val="24"/>
        </w:rPr>
        <w:t xml:space="preserve">the </w:t>
      </w:r>
      <w:r w:rsidR="00B027B5" w:rsidRPr="00063CAD">
        <w:rPr>
          <w:rFonts w:ascii="Trebuchet MS" w:hAnsi="Trebuchet MS"/>
          <w:sz w:val="24"/>
          <w:szCs w:val="24"/>
        </w:rPr>
        <w:t xml:space="preserve">data </w:t>
      </w:r>
      <w:r w:rsidR="008B2385">
        <w:rPr>
          <w:rFonts w:ascii="Trebuchet MS" w:hAnsi="Trebuchet MS"/>
          <w:sz w:val="24"/>
          <w:szCs w:val="24"/>
        </w:rPr>
        <w:t>needed t</w:t>
      </w:r>
      <w:r w:rsidR="00B027B5" w:rsidRPr="00063CAD">
        <w:rPr>
          <w:rFonts w:ascii="Trebuchet MS" w:hAnsi="Trebuchet MS"/>
          <w:sz w:val="24"/>
          <w:szCs w:val="24"/>
        </w:rPr>
        <w:t xml:space="preserve">o determine if access to services was </w:t>
      </w:r>
      <w:r w:rsidR="006116B8">
        <w:rPr>
          <w:rFonts w:ascii="Trebuchet MS" w:hAnsi="Trebuchet MS"/>
          <w:sz w:val="24"/>
          <w:szCs w:val="24"/>
        </w:rPr>
        <w:t xml:space="preserve">inappropriately </w:t>
      </w:r>
      <w:r w:rsidR="008B2385">
        <w:rPr>
          <w:rFonts w:ascii="Trebuchet MS" w:hAnsi="Trebuchet MS"/>
          <w:sz w:val="24"/>
          <w:szCs w:val="24"/>
        </w:rPr>
        <w:t>limited</w:t>
      </w:r>
      <w:r w:rsidR="006116B8">
        <w:rPr>
          <w:rFonts w:ascii="Trebuchet MS" w:hAnsi="Trebuchet MS"/>
          <w:sz w:val="24"/>
          <w:szCs w:val="24"/>
        </w:rPr>
        <w:t xml:space="preserve">. </w:t>
      </w:r>
    </w:p>
    <w:p w14:paraId="3BB36645" w14:textId="75AFD9C6" w:rsidR="007E606D" w:rsidRPr="00063CAD" w:rsidRDefault="008B2385" w:rsidP="00286ADC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This regulation was </w:t>
      </w:r>
      <w:r w:rsidR="000E1668">
        <w:rPr>
          <w:rFonts w:ascii="Trebuchet MS" w:hAnsi="Trebuchet MS"/>
          <w:sz w:val="24"/>
          <w:szCs w:val="24"/>
        </w:rPr>
        <w:t xml:space="preserve">developed </w:t>
      </w:r>
      <w:r w:rsidR="007E606D">
        <w:rPr>
          <w:rFonts w:ascii="Trebuchet MS" w:hAnsi="Trebuchet MS"/>
          <w:sz w:val="24"/>
          <w:szCs w:val="24"/>
        </w:rPr>
        <w:t xml:space="preserve">to comply </w:t>
      </w:r>
      <w:r w:rsidR="00924BA1">
        <w:rPr>
          <w:rFonts w:ascii="Trebuchet MS" w:hAnsi="Trebuchet MS"/>
          <w:sz w:val="24"/>
          <w:szCs w:val="24"/>
        </w:rPr>
        <w:t xml:space="preserve">with </w:t>
      </w:r>
      <w:r w:rsidR="00286ADC">
        <w:rPr>
          <w:rFonts w:ascii="Trebuchet MS" w:hAnsi="Trebuchet MS"/>
          <w:sz w:val="24"/>
          <w:szCs w:val="24"/>
        </w:rPr>
        <w:t xml:space="preserve">a provision of the </w:t>
      </w:r>
      <w:r w:rsidR="00F40E24">
        <w:rPr>
          <w:rFonts w:ascii="Trebuchet MS" w:hAnsi="Trebuchet MS"/>
          <w:sz w:val="24"/>
          <w:szCs w:val="24"/>
        </w:rPr>
        <w:t>Medicaid statute</w:t>
      </w:r>
      <w:r w:rsidR="007E606D" w:rsidRPr="00063CAD">
        <w:rPr>
          <w:rFonts w:ascii="Trebuchet MS" w:hAnsi="Trebuchet MS"/>
          <w:sz w:val="24"/>
          <w:szCs w:val="24"/>
        </w:rPr>
        <w:t xml:space="preserve"> known as the “equal access” requirement</w:t>
      </w:r>
      <w:r w:rsidR="00F40E24">
        <w:rPr>
          <w:rFonts w:ascii="Trebuchet MS" w:hAnsi="Trebuchet MS"/>
          <w:sz w:val="24"/>
          <w:szCs w:val="24"/>
        </w:rPr>
        <w:t xml:space="preserve">. </w:t>
      </w:r>
      <w:r w:rsidR="00286ADC">
        <w:rPr>
          <w:rFonts w:ascii="Trebuchet MS" w:hAnsi="Trebuchet MS"/>
          <w:sz w:val="24"/>
          <w:szCs w:val="24"/>
        </w:rPr>
        <w:t>While setting reimbursement rates for services is largely left to the states, t</w:t>
      </w:r>
      <w:r w:rsidR="00F40E24">
        <w:rPr>
          <w:rFonts w:ascii="Trebuchet MS" w:hAnsi="Trebuchet MS"/>
          <w:sz w:val="24"/>
          <w:szCs w:val="24"/>
        </w:rPr>
        <w:t xml:space="preserve">he law requires that </w:t>
      </w:r>
      <w:r w:rsidR="007E606D" w:rsidRPr="00063CAD">
        <w:rPr>
          <w:rFonts w:ascii="Trebuchet MS" w:hAnsi="Trebuchet MS"/>
          <w:sz w:val="24"/>
          <w:szCs w:val="24"/>
        </w:rPr>
        <w:t xml:space="preserve">Medicaid </w:t>
      </w:r>
      <w:r w:rsidR="00F40E24">
        <w:rPr>
          <w:rFonts w:ascii="Trebuchet MS" w:hAnsi="Trebuchet MS"/>
          <w:sz w:val="24"/>
          <w:szCs w:val="24"/>
        </w:rPr>
        <w:t xml:space="preserve">payments </w:t>
      </w:r>
      <w:r w:rsidR="00286ADC">
        <w:rPr>
          <w:rFonts w:ascii="Trebuchet MS" w:hAnsi="Trebuchet MS"/>
          <w:sz w:val="24"/>
          <w:szCs w:val="24"/>
        </w:rPr>
        <w:t xml:space="preserve">be </w:t>
      </w:r>
      <w:proofErr w:type="gramStart"/>
      <w:r w:rsidR="00286ADC">
        <w:rPr>
          <w:rFonts w:ascii="Trebuchet MS" w:hAnsi="Trebuchet MS"/>
          <w:sz w:val="24"/>
          <w:szCs w:val="24"/>
        </w:rPr>
        <w:t>su</w:t>
      </w:r>
      <w:r w:rsidR="00F40E24">
        <w:rPr>
          <w:rFonts w:ascii="Trebuchet MS" w:hAnsi="Trebuchet MS"/>
          <w:sz w:val="24"/>
          <w:szCs w:val="24"/>
        </w:rPr>
        <w:t>fficient</w:t>
      </w:r>
      <w:proofErr w:type="gramEnd"/>
      <w:r w:rsidR="00F40E24">
        <w:rPr>
          <w:rFonts w:ascii="Trebuchet MS" w:hAnsi="Trebuchet MS"/>
          <w:sz w:val="24"/>
          <w:szCs w:val="24"/>
        </w:rPr>
        <w:t xml:space="preserve"> to a</w:t>
      </w:r>
      <w:r w:rsidR="00286ADC">
        <w:rPr>
          <w:rFonts w:ascii="Trebuchet MS" w:hAnsi="Trebuchet MS"/>
          <w:sz w:val="24"/>
          <w:szCs w:val="24"/>
        </w:rPr>
        <w:t>llow access to services and supports</w:t>
      </w:r>
      <w:r w:rsidR="002D093C">
        <w:rPr>
          <w:rFonts w:ascii="Trebuchet MS" w:hAnsi="Trebuchet MS"/>
          <w:sz w:val="24"/>
          <w:szCs w:val="24"/>
        </w:rPr>
        <w:t>.</w:t>
      </w:r>
    </w:p>
    <w:p w14:paraId="6C67310B" w14:textId="71BC975F" w:rsidR="00021605" w:rsidRDefault="00B027B5" w:rsidP="008B2385">
      <w:pPr>
        <w:spacing w:line="240" w:lineRule="auto"/>
        <w:rPr>
          <w:rFonts w:ascii="Trebuchet MS" w:hAnsi="Trebuchet MS"/>
          <w:sz w:val="24"/>
          <w:szCs w:val="24"/>
        </w:rPr>
      </w:pPr>
      <w:r w:rsidRPr="00063CAD">
        <w:rPr>
          <w:rFonts w:ascii="Trebuchet MS" w:hAnsi="Trebuchet MS"/>
          <w:sz w:val="24"/>
          <w:szCs w:val="24"/>
        </w:rPr>
        <w:t xml:space="preserve">The final rule and </w:t>
      </w:r>
      <w:r w:rsidR="00924BA1">
        <w:rPr>
          <w:rFonts w:ascii="Trebuchet MS" w:hAnsi="Trebuchet MS"/>
          <w:sz w:val="24"/>
          <w:szCs w:val="24"/>
        </w:rPr>
        <w:t>later</w:t>
      </w:r>
      <w:r w:rsidRPr="00063CAD">
        <w:rPr>
          <w:rFonts w:ascii="Trebuchet MS" w:hAnsi="Trebuchet MS"/>
          <w:sz w:val="24"/>
          <w:szCs w:val="24"/>
        </w:rPr>
        <w:t xml:space="preserve"> rule making significantly narrowed the scope of the rule. </w:t>
      </w:r>
      <w:r w:rsidR="007E606D">
        <w:rPr>
          <w:rFonts w:ascii="Trebuchet MS" w:hAnsi="Trebuchet MS"/>
          <w:sz w:val="24"/>
          <w:szCs w:val="24"/>
        </w:rPr>
        <w:t>It excluded managed car</w:t>
      </w:r>
      <w:r w:rsidR="00924BA1">
        <w:rPr>
          <w:rFonts w:ascii="Trebuchet MS" w:hAnsi="Trebuchet MS"/>
          <w:sz w:val="24"/>
          <w:szCs w:val="24"/>
        </w:rPr>
        <w:t xml:space="preserve">e, </w:t>
      </w:r>
      <w:r w:rsidR="007E606D">
        <w:rPr>
          <w:rFonts w:ascii="Trebuchet MS" w:hAnsi="Trebuchet MS"/>
          <w:sz w:val="24"/>
          <w:szCs w:val="24"/>
        </w:rPr>
        <w:t>home and community</w:t>
      </w:r>
      <w:r w:rsidR="002D093C">
        <w:rPr>
          <w:rFonts w:ascii="Trebuchet MS" w:hAnsi="Trebuchet MS"/>
          <w:sz w:val="24"/>
          <w:szCs w:val="24"/>
        </w:rPr>
        <w:t>-</w:t>
      </w:r>
      <w:r w:rsidR="007E606D">
        <w:rPr>
          <w:rFonts w:ascii="Trebuchet MS" w:hAnsi="Trebuchet MS"/>
          <w:sz w:val="24"/>
          <w:szCs w:val="24"/>
        </w:rPr>
        <w:t>based services</w:t>
      </w:r>
      <w:r w:rsidR="006D3227">
        <w:rPr>
          <w:rFonts w:ascii="Trebuchet MS" w:hAnsi="Trebuchet MS"/>
          <w:sz w:val="24"/>
          <w:szCs w:val="24"/>
        </w:rPr>
        <w:t xml:space="preserve"> (HCBS)</w:t>
      </w:r>
      <w:r w:rsidR="00924BA1">
        <w:rPr>
          <w:rFonts w:ascii="Trebuchet MS" w:hAnsi="Trebuchet MS"/>
          <w:sz w:val="24"/>
          <w:szCs w:val="24"/>
        </w:rPr>
        <w:t>,</w:t>
      </w:r>
      <w:r w:rsidR="007E606D">
        <w:rPr>
          <w:rFonts w:ascii="Trebuchet MS" w:hAnsi="Trebuchet MS"/>
          <w:sz w:val="24"/>
          <w:szCs w:val="24"/>
        </w:rPr>
        <w:t xml:space="preserve"> </w:t>
      </w:r>
      <w:r w:rsidR="00955EB8">
        <w:rPr>
          <w:rFonts w:ascii="Trebuchet MS" w:hAnsi="Trebuchet MS"/>
          <w:sz w:val="24"/>
          <w:szCs w:val="24"/>
        </w:rPr>
        <w:t>and limited the number of Medicaid services subject to review. It required states to create an access monitoring review plan (AMRP)</w:t>
      </w:r>
      <w:r w:rsidR="00021605">
        <w:rPr>
          <w:rFonts w:ascii="Trebuchet MS" w:hAnsi="Trebuchet MS"/>
          <w:sz w:val="24"/>
          <w:szCs w:val="24"/>
        </w:rPr>
        <w:t xml:space="preserve"> and to monitor selected Medicaid services</w:t>
      </w:r>
      <w:r w:rsidR="00955EB8">
        <w:rPr>
          <w:rFonts w:ascii="Trebuchet MS" w:hAnsi="Trebuchet MS"/>
          <w:sz w:val="24"/>
          <w:szCs w:val="24"/>
        </w:rPr>
        <w:t>.</w:t>
      </w:r>
      <w:r w:rsidR="00286ADC">
        <w:rPr>
          <w:rFonts w:ascii="Trebuchet MS" w:hAnsi="Trebuchet MS"/>
          <w:sz w:val="24"/>
          <w:szCs w:val="24"/>
        </w:rPr>
        <w:t xml:space="preserve"> The intent of these provisions was to ensure that CMS had data to provide oversight of the states and hold them accountable for adequate reimbursement rates. </w:t>
      </w:r>
      <w:r w:rsidR="00955EB8">
        <w:rPr>
          <w:rFonts w:ascii="Trebuchet MS" w:hAnsi="Trebuchet MS"/>
          <w:sz w:val="24"/>
          <w:szCs w:val="24"/>
        </w:rPr>
        <w:t xml:space="preserve"> </w:t>
      </w:r>
    </w:p>
    <w:p w14:paraId="4DD153E1" w14:textId="64237EF0" w:rsidR="00B027B5" w:rsidRPr="00063CAD" w:rsidRDefault="00397213" w:rsidP="008B2385">
      <w:pPr>
        <w:spacing w:line="240" w:lineRule="auto"/>
        <w:rPr>
          <w:rFonts w:ascii="Trebuchet MS" w:hAnsi="Trebuchet MS"/>
          <w:sz w:val="24"/>
          <w:szCs w:val="24"/>
        </w:rPr>
      </w:pPr>
      <w:r w:rsidRPr="00063CAD">
        <w:rPr>
          <w:rFonts w:ascii="Trebuchet MS" w:hAnsi="Trebuchet MS"/>
          <w:sz w:val="24"/>
          <w:szCs w:val="24"/>
        </w:rPr>
        <w:t>This summer</w:t>
      </w:r>
      <w:r w:rsidR="002D093C">
        <w:rPr>
          <w:rFonts w:ascii="Trebuchet MS" w:hAnsi="Trebuchet MS"/>
          <w:sz w:val="24"/>
          <w:szCs w:val="24"/>
        </w:rPr>
        <w:t>,</w:t>
      </w:r>
      <w:r w:rsidRPr="00063CAD">
        <w:rPr>
          <w:rFonts w:ascii="Trebuchet MS" w:hAnsi="Trebuchet MS"/>
          <w:sz w:val="24"/>
          <w:szCs w:val="24"/>
        </w:rPr>
        <w:t xml:space="preserve"> CMS </w:t>
      </w:r>
      <w:r w:rsidR="00955EB8">
        <w:rPr>
          <w:rFonts w:ascii="Trebuchet MS" w:hAnsi="Trebuchet MS"/>
          <w:sz w:val="24"/>
          <w:szCs w:val="24"/>
        </w:rPr>
        <w:t xml:space="preserve">issued a </w:t>
      </w:r>
      <w:r w:rsidRPr="00063CAD">
        <w:rPr>
          <w:rFonts w:ascii="Trebuchet MS" w:hAnsi="Trebuchet MS"/>
          <w:sz w:val="24"/>
          <w:szCs w:val="24"/>
        </w:rPr>
        <w:t xml:space="preserve">proposed </w:t>
      </w:r>
      <w:r w:rsidR="00955EB8">
        <w:rPr>
          <w:rFonts w:ascii="Trebuchet MS" w:hAnsi="Trebuchet MS"/>
          <w:sz w:val="24"/>
          <w:szCs w:val="24"/>
        </w:rPr>
        <w:t xml:space="preserve">rule </w:t>
      </w:r>
      <w:r w:rsidR="00021605">
        <w:rPr>
          <w:rFonts w:ascii="Trebuchet MS" w:hAnsi="Trebuchet MS"/>
          <w:sz w:val="24"/>
          <w:szCs w:val="24"/>
        </w:rPr>
        <w:t xml:space="preserve">further weakening the access </w:t>
      </w:r>
      <w:r w:rsidR="00F40E24">
        <w:rPr>
          <w:rFonts w:ascii="Trebuchet MS" w:hAnsi="Trebuchet MS"/>
          <w:sz w:val="24"/>
          <w:szCs w:val="24"/>
        </w:rPr>
        <w:t>rule</w:t>
      </w:r>
      <w:r w:rsidR="00021605">
        <w:rPr>
          <w:rFonts w:ascii="Trebuchet MS" w:hAnsi="Trebuchet MS"/>
          <w:sz w:val="24"/>
          <w:szCs w:val="24"/>
        </w:rPr>
        <w:t xml:space="preserve"> by </w:t>
      </w:r>
      <w:r w:rsidR="00955EB8">
        <w:rPr>
          <w:rFonts w:ascii="Trebuchet MS" w:hAnsi="Trebuchet MS"/>
          <w:sz w:val="24"/>
          <w:szCs w:val="24"/>
        </w:rPr>
        <w:t>remov</w:t>
      </w:r>
      <w:r w:rsidR="00021605">
        <w:rPr>
          <w:rFonts w:ascii="Trebuchet MS" w:hAnsi="Trebuchet MS"/>
          <w:sz w:val="24"/>
          <w:szCs w:val="24"/>
        </w:rPr>
        <w:t>ing</w:t>
      </w:r>
      <w:r w:rsidR="00955EB8">
        <w:rPr>
          <w:rFonts w:ascii="Trebuchet MS" w:hAnsi="Trebuchet MS"/>
          <w:sz w:val="24"/>
          <w:szCs w:val="24"/>
        </w:rPr>
        <w:t xml:space="preserve"> the requirement that states submit AMRPs</w:t>
      </w:r>
      <w:r w:rsidR="00021605">
        <w:rPr>
          <w:rFonts w:ascii="Trebuchet MS" w:hAnsi="Trebuchet MS"/>
          <w:sz w:val="24"/>
          <w:szCs w:val="24"/>
        </w:rPr>
        <w:t xml:space="preserve">. </w:t>
      </w:r>
      <w:r w:rsidR="005410B2">
        <w:rPr>
          <w:rFonts w:ascii="Trebuchet MS" w:hAnsi="Trebuchet MS"/>
          <w:sz w:val="24"/>
          <w:szCs w:val="24"/>
        </w:rPr>
        <w:t xml:space="preserve">CMS maintains that states must continue to meet the statutory requirement but removed the method of doing so. </w:t>
      </w:r>
      <w:r w:rsidR="00021605">
        <w:rPr>
          <w:rFonts w:ascii="Trebuchet MS" w:hAnsi="Trebuchet MS"/>
          <w:sz w:val="24"/>
          <w:szCs w:val="24"/>
        </w:rPr>
        <w:t>CM</w:t>
      </w:r>
      <w:r w:rsidR="00955EB8">
        <w:rPr>
          <w:rFonts w:ascii="Trebuchet MS" w:hAnsi="Trebuchet MS"/>
          <w:sz w:val="24"/>
          <w:szCs w:val="24"/>
        </w:rPr>
        <w:t xml:space="preserve">S </w:t>
      </w:r>
      <w:r w:rsidR="001071D5">
        <w:rPr>
          <w:rFonts w:ascii="Trebuchet MS" w:hAnsi="Trebuchet MS"/>
          <w:sz w:val="24"/>
          <w:szCs w:val="24"/>
        </w:rPr>
        <w:t xml:space="preserve">plans to </w:t>
      </w:r>
      <w:r w:rsidR="00955EB8">
        <w:rPr>
          <w:rFonts w:ascii="Trebuchet MS" w:hAnsi="Trebuchet MS"/>
          <w:sz w:val="24"/>
          <w:szCs w:val="24"/>
        </w:rPr>
        <w:t xml:space="preserve">offer future guidance </w:t>
      </w:r>
      <w:r w:rsidR="00924BA1">
        <w:rPr>
          <w:rFonts w:ascii="Trebuchet MS" w:hAnsi="Trebuchet MS"/>
          <w:sz w:val="24"/>
          <w:szCs w:val="24"/>
        </w:rPr>
        <w:t xml:space="preserve">to </w:t>
      </w:r>
      <w:r w:rsidR="00955EB8">
        <w:rPr>
          <w:rFonts w:ascii="Trebuchet MS" w:hAnsi="Trebuchet MS"/>
          <w:sz w:val="24"/>
          <w:szCs w:val="24"/>
        </w:rPr>
        <w:t xml:space="preserve">states </w:t>
      </w:r>
      <w:r w:rsidR="00924BA1">
        <w:rPr>
          <w:rFonts w:ascii="Trebuchet MS" w:hAnsi="Trebuchet MS"/>
          <w:sz w:val="24"/>
          <w:szCs w:val="24"/>
        </w:rPr>
        <w:t>on</w:t>
      </w:r>
      <w:r w:rsidR="00955EB8">
        <w:rPr>
          <w:rFonts w:ascii="Trebuchet MS" w:hAnsi="Trebuchet MS"/>
          <w:sz w:val="24"/>
          <w:szCs w:val="24"/>
        </w:rPr>
        <w:t xml:space="preserve"> comply</w:t>
      </w:r>
      <w:r w:rsidR="00924BA1">
        <w:rPr>
          <w:rFonts w:ascii="Trebuchet MS" w:hAnsi="Trebuchet MS"/>
          <w:sz w:val="24"/>
          <w:szCs w:val="24"/>
        </w:rPr>
        <w:t>ing</w:t>
      </w:r>
      <w:r w:rsidR="00955EB8">
        <w:rPr>
          <w:rFonts w:ascii="Trebuchet MS" w:hAnsi="Trebuchet MS"/>
          <w:sz w:val="24"/>
          <w:szCs w:val="24"/>
        </w:rPr>
        <w:t xml:space="preserve"> with the law</w:t>
      </w:r>
      <w:r w:rsidR="00924BA1">
        <w:rPr>
          <w:rFonts w:ascii="Trebuchet MS" w:hAnsi="Trebuchet MS"/>
          <w:sz w:val="24"/>
          <w:szCs w:val="24"/>
        </w:rPr>
        <w:t>. While the current rule is problematic</w:t>
      </w:r>
      <w:r w:rsidR="006D3227">
        <w:rPr>
          <w:rFonts w:ascii="Trebuchet MS" w:hAnsi="Trebuchet MS"/>
          <w:sz w:val="24"/>
          <w:szCs w:val="24"/>
        </w:rPr>
        <w:t>,</w:t>
      </w:r>
      <w:r w:rsidR="00924BA1">
        <w:rPr>
          <w:rFonts w:ascii="Trebuchet MS" w:hAnsi="Trebuchet MS"/>
          <w:sz w:val="24"/>
          <w:szCs w:val="24"/>
        </w:rPr>
        <w:t xml:space="preserve"> it should be strengthened</w:t>
      </w:r>
      <w:r w:rsidR="002D093C">
        <w:rPr>
          <w:rFonts w:ascii="Trebuchet MS" w:hAnsi="Trebuchet MS"/>
          <w:sz w:val="24"/>
          <w:szCs w:val="24"/>
        </w:rPr>
        <w:t>—</w:t>
      </w:r>
      <w:r w:rsidR="00924BA1">
        <w:rPr>
          <w:rFonts w:ascii="Trebuchet MS" w:hAnsi="Trebuchet MS"/>
          <w:sz w:val="24"/>
          <w:szCs w:val="24"/>
        </w:rPr>
        <w:t xml:space="preserve">not </w:t>
      </w:r>
      <w:r w:rsidR="00365F29">
        <w:rPr>
          <w:rFonts w:ascii="Trebuchet MS" w:hAnsi="Trebuchet MS"/>
          <w:sz w:val="24"/>
          <w:szCs w:val="24"/>
        </w:rPr>
        <w:t xml:space="preserve">further </w:t>
      </w:r>
      <w:r w:rsidR="00924BA1">
        <w:rPr>
          <w:rFonts w:ascii="Trebuchet MS" w:hAnsi="Trebuchet MS"/>
          <w:sz w:val="24"/>
          <w:szCs w:val="24"/>
        </w:rPr>
        <w:t xml:space="preserve">weakened. </w:t>
      </w:r>
    </w:p>
    <w:p w14:paraId="728BB354" w14:textId="77777777" w:rsidR="00397213" w:rsidRPr="001071D5" w:rsidRDefault="00397213" w:rsidP="008B2385">
      <w:pPr>
        <w:spacing w:line="240" w:lineRule="auto"/>
        <w:rPr>
          <w:rFonts w:ascii="Trebuchet MS" w:hAnsi="Trebuchet MS"/>
          <w:b/>
          <w:sz w:val="24"/>
          <w:szCs w:val="24"/>
        </w:rPr>
      </w:pPr>
    </w:p>
    <w:p w14:paraId="746BA07D" w14:textId="77777777" w:rsidR="00397213" w:rsidRPr="001071D5" w:rsidRDefault="00397213" w:rsidP="008B2385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1071D5">
        <w:rPr>
          <w:rFonts w:ascii="Trebuchet MS" w:hAnsi="Trebuchet MS"/>
          <w:b/>
          <w:sz w:val="24"/>
          <w:szCs w:val="24"/>
        </w:rPr>
        <w:t xml:space="preserve">Why </w:t>
      </w:r>
      <w:r w:rsidR="00D5034D">
        <w:rPr>
          <w:rFonts w:ascii="Trebuchet MS" w:hAnsi="Trebuchet MS"/>
          <w:b/>
          <w:sz w:val="24"/>
          <w:szCs w:val="24"/>
        </w:rPr>
        <w:t xml:space="preserve">does </w:t>
      </w:r>
      <w:r w:rsidRPr="001071D5">
        <w:rPr>
          <w:rFonts w:ascii="Trebuchet MS" w:hAnsi="Trebuchet MS"/>
          <w:b/>
          <w:sz w:val="24"/>
          <w:szCs w:val="24"/>
        </w:rPr>
        <w:t>it matter</w:t>
      </w:r>
      <w:r w:rsidR="00D5034D">
        <w:rPr>
          <w:rFonts w:ascii="Trebuchet MS" w:hAnsi="Trebuchet MS"/>
          <w:b/>
          <w:sz w:val="24"/>
          <w:szCs w:val="24"/>
        </w:rPr>
        <w:t>?</w:t>
      </w:r>
    </w:p>
    <w:p w14:paraId="5FF8C8BB" w14:textId="77777777" w:rsidR="00063CAD" w:rsidRPr="00063CAD" w:rsidRDefault="00063CAD" w:rsidP="008B2385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14:paraId="6639885F" w14:textId="77777777" w:rsidR="00924BA1" w:rsidRDefault="00955EB8" w:rsidP="008B2385">
      <w:pPr>
        <w:spacing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The Arc has</w:t>
      </w:r>
      <w:r w:rsidR="0043226F">
        <w:rPr>
          <w:rFonts w:ascii="Trebuchet MS" w:hAnsi="Trebuchet MS" w:cs="Times New Roman"/>
          <w:sz w:val="24"/>
          <w:szCs w:val="24"/>
        </w:rPr>
        <w:t xml:space="preserve"> </w:t>
      </w:r>
      <w:r w:rsidR="008B2385">
        <w:rPr>
          <w:rFonts w:ascii="Trebuchet MS" w:hAnsi="Trebuchet MS" w:cs="Times New Roman"/>
          <w:sz w:val="24"/>
          <w:szCs w:val="24"/>
        </w:rPr>
        <w:t xml:space="preserve">long </w:t>
      </w:r>
      <w:r w:rsidR="0043226F">
        <w:rPr>
          <w:rFonts w:ascii="Trebuchet MS" w:hAnsi="Trebuchet MS" w:cs="Times New Roman"/>
          <w:sz w:val="24"/>
          <w:szCs w:val="24"/>
        </w:rPr>
        <w:t xml:space="preserve">urged </w:t>
      </w:r>
      <w:bookmarkStart w:id="1" w:name="_Hlk18579525"/>
      <w:r w:rsidR="0043226F">
        <w:rPr>
          <w:rFonts w:ascii="Trebuchet MS" w:hAnsi="Trebuchet MS" w:cs="Times New Roman"/>
          <w:sz w:val="24"/>
          <w:szCs w:val="24"/>
        </w:rPr>
        <w:t xml:space="preserve">CMS to develop a comprehensive and transparent system </w:t>
      </w:r>
      <w:r w:rsidR="00063CAD" w:rsidRPr="00063CAD">
        <w:rPr>
          <w:rFonts w:ascii="Trebuchet MS" w:hAnsi="Trebuchet MS" w:cs="Times New Roman"/>
          <w:sz w:val="24"/>
          <w:szCs w:val="24"/>
        </w:rPr>
        <w:t xml:space="preserve">to enforce the </w:t>
      </w:r>
      <w:r w:rsidR="00DE457D">
        <w:rPr>
          <w:rFonts w:ascii="Trebuchet MS" w:hAnsi="Trebuchet MS" w:cs="Times New Roman"/>
          <w:sz w:val="24"/>
          <w:szCs w:val="24"/>
        </w:rPr>
        <w:t xml:space="preserve">Medicaid </w:t>
      </w:r>
      <w:r w:rsidR="009A66F1">
        <w:rPr>
          <w:rFonts w:ascii="Trebuchet MS" w:hAnsi="Trebuchet MS" w:cs="Times New Roman"/>
          <w:sz w:val="24"/>
          <w:szCs w:val="24"/>
        </w:rPr>
        <w:t xml:space="preserve">equal access </w:t>
      </w:r>
      <w:r w:rsidR="00063CAD" w:rsidRPr="00063CAD">
        <w:rPr>
          <w:rFonts w:ascii="Trebuchet MS" w:hAnsi="Trebuchet MS" w:cs="Times New Roman"/>
          <w:sz w:val="24"/>
          <w:szCs w:val="24"/>
        </w:rPr>
        <w:t>provisions</w:t>
      </w:r>
      <w:r w:rsidR="009A66F1">
        <w:rPr>
          <w:rFonts w:ascii="Trebuchet MS" w:hAnsi="Trebuchet MS" w:cs="Times New Roman"/>
          <w:sz w:val="24"/>
          <w:szCs w:val="24"/>
        </w:rPr>
        <w:t xml:space="preserve">. </w:t>
      </w:r>
      <w:bookmarkEnd w:id="1"/>
      <w:r w:rsidR="00976F74">
        <w:rPr>
          <w:rFonts w:ascii="Trebuchet MS" w:hAnsi="Trebuchet MS" w:cs="Times New Roman"/>
          <w:sz w:val="24"/>
          <w:szCs w:val="24"/>
        </w:rPr>
        <w:t xml:space="preserve">The </w:t>
      </w:r>
      <w:r w:rsidR="008B2385">
        <w:rPr>
          <w:rFonts w:ascii="Trebuchet MS" w:hAnsi="Trebuchet MS" w:cs="Times New Roman"/>
          <w:sz w:val="24"/>
          <w:szCs w:val="24"/>
        </w:rPr>
        <w:t xml:space="preserve">Arc has advocated </w:t>
      </w:r>
      <w:r w:rsidR="009A66F1">
        <w:rPr>
          <w:rFonts w:ascii="Trebuchet MS" w:hAnsi="Trebuchet MS" w:cs="Times New Roman"/>
          <w:sz w:val="24"/>
          <w:szCs w:val="24"/>
        </w:rPr>
        <w:t xml:space="preserve">for </w:t>
      </w:r>
      <w:r w:rsidR="008B2385">
        <w:rPr>
          <w:rFonts w:ascii="Trebuchet MS" w:hAnsi="Trebuchet MS" w:cs="Times New Roman"/>
          <w:sz w:val="24"/>
          <w:szCs w:val="24"/>
        </w:rPr>
        <w:t xml:space="preserve">reimbursements rates </w:t>
      </w:r>
      <w:proofErr w:type="gramStart"/>
      <w:r w:rsidR="008B2385">
        <w:rPr>
          <w:rFonts w:ascii="Trebuchet MS" w:hAnsi="Trebuchet MS" w:cs="Times New Roman"/>
          <w:sz w:val="24"/>
          <w:szCs w:val="24"/>
        </w:rPr>
        <w:t>sufficient</w:t>
      </w:r>
      <w:proofErr w:type="gramEnd"/>
      <w:r w:rsidR="008B2385">
        <w:rPr>
          <w:rFonts w:ascii="Trebuchet MS" w:hAnsi="Trebuchet MS" w:cs="Times New Roman"/>
          <w:sz w:val="24"/>
          <w:szCs w:val="24"/>
        </w:rPr>
        <w:t xml:space="preserve"> to meet the support needs of people with disabilities</w:t>
      </w:r>
      <w:r w:rsidR="009A66F1">
        <w:rPr>
          <w:rFonts w:ascii="Trebuchet MS" w:hAnsi="Trebuchet MS" w:cs="Times New Roman"/>
          <w:sz w:val="24"/>
          <w:szCs w:val="24"/>
        </w:rPr>
        <w:t xml:space="preserve">, including people with intensive and complex needs. If rates are insufficient to attract quality providers or </w:t>
      </w:r>
      <w:r w:rsidR="00F40E24">
        <w:rPr>
          <w:rFonts w:ascii="Trebuchet MS" w:hAnsi="Trebuchet MS" w:cs="Times New Roman"/>
          <w:sz w:val="24"/>
          <w:szCs w:val="24"/>
        </w:rPr>
        <w:t xml:space="preserve">do not </w:t>
      </w:r>
      <w:r w:rsidR="009A66F1">
        <w:rPr>
          <w:rFonts w:ascii="Trebuchet MS" w:hAnsi="Trebuchet MS" w:cs="Times New Roman"/>
          <w:sz w:val="24"/>
          <w:szCs w:val="24"/>
        </w:rPr>
        <w:t>allow existing providers to reach more people,</w:t>
      </w:r>
      <w:r w:rsidR="008B2385">
        <w:rPr>
          <w:rFonts w:ascii="Trebuchet MS" w:hAnsi="Trebuchet MS" w:cs="Times New Roman"/>
          <w:sz w:val="24"/>
          <w:szCs w:val="24"/>
        </w:rPr>
        <w:t xml:space="preserve"> </w:t>
      </w:r>
      <w:r w:rsidR="009A66F1">
        <w:rPr>
          <w:rFonts w:ascii="Trebuchet MS" w:hAnsi="Trebuchet MS" w:cs="Times New Roman"/>
          <w:sz w:val="24"/>
          <w:szCs w:val="24"/>
        </w:rPr>
        <w:t xml:space="preserve">people will not be served or added to </w:t>
      </w:r>
      <w:r w:rsidR="008B2385">
        <w:rPr>
          <w:rFonts w:ascii="Trebuchet MS" w:hAnsi="Trebuchet MS" w:cs="Times New Roman"/>
          <w:sz w:val="24"/>
          <w:szCs w:val="24"/>
        </w:rPr>
        <w:t>waiting lists</w:t>
      </w:r>
      <w:r w:rsidR="009A66F1">
        <w:rPr>
          <w:rFonts w:ascii="Trebuchet MS" w:hAnsi="Trebuchet MS" w:cs="Times New Roman"/>
          <w:sz w:val="24"/>
          <w:szCs w:val="24"/>
        </w:rPr>
        <w:t>.</w:t>
      </w:r>
    </w:p>
    <w:p w14:paraId="48318791" w14:textId="40C9B320" w:rsidR="00976F74" w:rsidRDefault="008B2385" w:rsidP="008B2385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T</w:t>
      </w:r>
      <w:r w:rsidRPr="00063CAD">
        <w:rPr>
          <w:rFonts w:ascii="Trebuchet MS" w:hAnsi="Trebuchet MS" w:cs="Times New Roman"/>
          <w:sz w:val="24"/>
          <w:szCs w:val="24"/>
        </w:rPr>
        <w:t xml:space="preserve">oo often the reimbursement rates do not reflect the actual cost of providing the services and supports. </w:t>
      </w:r>
      <w:r w:rsidRPr="00063CAD">
        <w:rPr>
          <w:rFonts w:ascii="Trebuchet MS" w:hAnsi="Trebuchet MS"/>
          <w:sz w:val="24"/>
          <w:szCs w:val="24"/>
        </w:rPr>
        <w:t>A comparison to the actual costs should be a critical part of any analysis of rate sufficiency. If rates are well below costs, providers will not want to participate or will not be able to provide</w:t>
      </w:r>
      <w:r>
        <w:rPr>
          <w:rFonts w:ascii="Trebuchet MS" w:hAnsi="Trebuchet MS"/>
          <w:sz w:val="24"/>
          <w:szCs w:val="24"/>
        </w:rPr>
        <w:t xml:space="preserve"> high quality services. </w:t>
      </w:r>
      <w:r w:rsidR="00F40E24">
        <w:rPr>
          <w:rFonts w:ascii="Trebuchet MS" w:hAnsi="Trebuchet MS"/>
          <w:sz w:val="24"/>
          <w:szCs w:val="24"/>
        </w:rPr>
        <w:t>The current rule do</w:t>
      </w:r>
      <w:r w:rsidR="00924BA1">
        <w:rPr>
          <w:rFonts w:ascii="Trebuchet MS" w:hAnsi="Trebuchet MS"/>
          <w:sz w:val="24"/>
          <w:szCs w:val="24"/>
        </w:rPr>
        <w:t>es</w:t>
      </w:r>
      <w:r w:rsidR="00F40E24">
        <w:rPr>
          <w:rFonts w:ascii="Trebuchet MS" w:hAnsi="Trebuchet MS"/>
          <w:sz w:val="24"/>
          <w:szCs w:val="24"/>
        </w:rPr>
        <w:t xml:space="preserve"> not explicitly require this analysis.</w:t>
      </w:r>
    </w:p>
    <w:p w14:paraId="2F2AA476" w14:textId="3BA922C6" w:rsidR="00063CAD" w:rsidRPr="00063CAD" w:rsidRDefault="00063CAD" w:rsidP="008B2385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063CAD">
        <w:rPr>
          <w:rFonts w:ascii="Trebuchet MS" w:hAnsi="Trebuchet MS" w:cs="Times New Roman"/>
          <w:sz w:val="24"/>
          <w:szCs w:val="24"/>
        </w:rPr>
        <w:t>Inadequate reimbursement rates contribute to low wages and high turnover rates for direct support professionals</w:t>
      </w:r>
      <w:r w:rsidR="0043226F">
        <w:rPr>
          <w:rFonts w:ascii="Trebuchet MS" w:hAnsi="Trebuchet MS" w:cs="Times New Roman"/>
          <w:sz w:val="24"/>
          <w:szCs w:val="24"/>
        </w:rPr>
        <w:t xml:space="preserve"> (DSPs). </w:t>
      </w:r>
      <w:r w:rsidR="0043226F" w:rsidRPr="0043226F">
        <w:rPr>
          <w:rFonts w:ascii="Trebuchet MS" w:hAnsi="Trebuchet MS" w:cs="Times New Roman"/>
          <w:sz w:val="24"/>
          <w:szCs w:val="24"/>
        </w:rPr>
        <w:t xml:space="preserve">The work </w:t>
      </w:r>
      <w:r w:rsidR="0043226F">
        <w:rPr>
          <w:rFonts w:ascii="Trebuchet MS" w:hAnsi="Trebuchet MS" w:cs="Times New Roman"/>
          <w:sz w:val="24"/>
          <w:szCs w:val="24"/>
        </w:rPr>
        <w:t>of</w:t>
      </w:r>
      <w:r w:rsidR="0043226F" w:rsidRPr="0043226F">
        <w:rPr>
          <w:rFonts w:ascii="Trebuchet MS" w:hAnsi="Trebuchet MS" w:cs="Times New Roman"/>
          <w:sz w:val="24"/>
          <w:szCs w:val="24"/>
        </w:rPr>
        <w:t xml:space="preserve"> DSPs is invaluable to the disability </w:t>
      </w:r>
      <w:r w:rsidR="0043226F" w:rsidRPr="0043226F">
        <w:rPr>
          <w:rFonts w:ascii="Trebuchet MS" w:hAnsi="Trebuchet MS" w:cs="Times New Roman"/>
          <w:sz w:val="24"/>
          <w:szCs w:val="24"/>
        </w:rPr>
        <w:lastRenderedPageBreak/>
        <w:t>community and the service system that relies on their abilities to keep people out of institutional settings.</w:t>
      </w:r>
      <w:r w:rsidR="0043226F">
        <w:rPr>
          <w:rFonts w:ascii="Trebuchet MS" w:hAnsi="Trebuchet MS" w:cs="Times New Roman"/>
          <w:sz w:val="24"/>
          <w:szCs w:val="24"/>
        </w:rPr>
        <w:t xml:space="preserve"> </w:t>
      </w:r>
      <w:r w:rsidR="001071D5">
        <w:rPr>
          <w:rFonts w:ascii="Trebuchet MS" w:hAnsi="Trebuchet MS" w:cs="Times New Roman"/>
          <w:sz w:val="24"/>
          <w:szCs w:val="24"/>
        </w:rPr>
        <w:t xml:space="preserve">The low wages and high turnover </w:t>
      </w:r>
      <w:r w:rsidR="002D093C">
        <w:rPr>
          <w:rFonts w:ascii="Trebuchet MS" w:hAnsi="Trebuchet MS" w:cs="Times New Roman"/>
          <w:sz w:val="24"/>
          <w:szCs w:val="24"/>
        </w:rPr>
        <w:t>are</w:t>
      </w:r>
      <w:r w:rsidRPr="00063CAD">
        <w:rPr>
          <w:rFonts w:ascii="Trebuchet MS" w:hAnsi="Trebuchet MS" w:cs="Times New Roman"/>
          <w:sz w:val="24"/>
          <w:szCs w:val="24"/>
        </w:rPr>
        <w:t xml:space="preserve"> creating a nationwide crisis</w:t>
      </w:r>
      <w:r w:rsidR="002D093C">
        <w:rPr>
          <w:rFonts w:ascii="Trebuchet MS" w:hAnsi="Trebuchet MS" w:cs="Times New Roman"/>
          <w:sz w:val="24"/>
          <w:szCs w:val="24"/>
        </w:rPr>
        <w:t>—</w:t>
      </w:r>
      <w:r w:rsidRPr="00063CAD">
        <w:rPr>
          <w:rFonts w:ascii="Trebuchet MS" w:hAnsi="Trebuchet MS" w:cs="Times New Roman"/>
          <w:sz w:val="24"/>
          <w:szCs w:val="24"/>
        </w:rPr>
        <w:t xml:space="preserve">disrupting the lives of </w:t>
      </w:r>
      <w:r w:rsidR="001071D5">
        <w:rPr>
          <w:rFonts w:ascii="Trebuchet MS" w:hAnsi="Trebuchet MS" w:cs="Times New Roman"/>
          <w:sz w:val="24"/>
          <w:szCs w:val="24"/>
        </w:rPr>
        <w:t xml:space="preserve">people with disabilities </w:t>
      </w:r>
      <w:r w:rsidRPr="00063CAD">
        <w:rPr>
          <w:rFonts w:ascii="Trebuchet MS" w:hAnsi="Trebuchet MS" w:cs="Times New Roman"/>
          <w:sz w:val="24"/>
          <w:szCs w:val="24"/>
        </w:rPr>
        <w:t>and putting their health and safety at risk.</w:t>
      </w:r>
      <w:r w:rsidR="0043226F" w:rsidRPr="0043226F">
        <w:t xml:space="preserve"> </w:t>
      </w:r>
    </w:p>
    <w:p w14:paraId="11F41418" w14:textId="77777777" w:rsidR="008B2385" w:rsidRDefault="008B2385" w:rsidP="008B2385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14:paraId="5BB38C4C" w14:textId="77777777" w:rsidR="008B2385" w:rsidRPr="00063CAD" w:rsidRDefault="008B2385" w:rsidP="008B2385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063CAD">
        <w:rPr>
          <w:rFonts w:ascii="Trebuchet MS" w:hAnsi="Trebuchet MS" w:cs="Times New Roman"/>
          <w:sz w:val="24"/>
          <w:szCs w:val="24"/>
        </w:rPr>
        <w:t xml:space="preserve">Maintaining strong agency oversight of this key provision of the law is even more critical following the Supreme Court decision in </w:t>
      </w:r>
      <w:r w:rsidRPr="00063CAD">
        <w:rPr>
          <w:rFonts w:ascii="Trebuchet MS" w:hAnsi="Trebuchet MS" w:cs="Times New Roman"/>
          <w:i/>
          <w:sz w:val="24"/>
          <w:szCs w:val="24"/>
        </w:rPr>
        <w:t>Armstrong v. Exceptional Child Center, Inc</w:t>
      </w:r>
      <w:r w:rsidRPr="00063CAD">
        <w:rPr>
          <w:rFonts w:ascii="Trebuchet MS" w:hAnsi="Trebuchet MS" w:cs="Times New Roman"/>
          <w:sz w:val="24"/>
          <w:szCs w:val="24"/>
        </w:rPr>
        <w:t xml:space="preserve">., which left </w:t>
      </w:r>
      <w:r w:rsidR="00F40E24">
        <w:rPr>
          <w:rFonts w:ascii="Trebuchet MS" w:hAnsi="Trebuchet MS" w:cs="Times New Roman"/>
          <w:sz w:val="24"/>
          <w:szCs w:val="24"/>
        </w:rPr>
        <w:t xml:space="preserve">few options </w:t>
      </w:r>
      <w:r w:rsidRPr="00063CAD">
        <w:rPr>
          <w:rFonts w:ascii="Trebuchet MS" w:hAnsi="Trebuchet MS" w:cs="Times New Roman"/>
          <w:sz w:val="24"/>
          <w:szCs w:val="24"/>
        </w:rPr>
        <w:t xml:space="preserve">for individuals to </w:t>
      </w:r>
      <w:r w:rsidR="00F40E24">
        <w:rPr>
          <w:rFonts w:ascii="Trebuchet MS" w:hAnsi="Trebuchet MS" w:cs="Times New Roman"/>
          <w:sz w:val="24"/>
          <w:szCs w:val="24"/>
        </w:rPr>
        <w:t xml:space="preserve">remedy </w:t>
      </w:r>
      <w:r w:rsidRPr="00063CAD">
        <w:rPr>
          <w:rFonts w:ascii="Trebuchet MS" w:hAnsi="Trebuchet MS" w:cs="Times New Roman"/>
          <w:sz w:val="24"/>
          <w:szCs w:val="24"/>
        </w:rPr>
        <w:t>insufficient access to services outside of petitioning CMS for oversight and enforcement. CMS’ current proposal would greatly reduce CMS’ oversight of Medicaid services.</w:t>
      </w:r>
    </w:p>
    <w:p w14:paraId="121A2690" w14:textId="77777777" w:rsidR="00397213" w:rsidRDefault="00397213" w:rsidP="008B2385">
      <w:pPr>
        <w:spacing w:line="240" w:lineRule="auto"/>
        <w:rPr>
          <w:rFonts w:ascii="Trebuchet MS" w:hAnsi="Trebuchet MS"/>
          <w:sz w:val="24"/>
          <w:szCs w:val="24"/>
        </w:rPr>
      </w:pPr>
    </w:p>
    <w:p w14:paraId="10462BD2" w14:textId="77777777" w:rsidR="00397213" w:rsidRPr="001071D5" w:rsidRDefault="00397213" w:rsidP="008B2385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1071D5">
        <w:rPr>
          <w:rFonts w:ascii="Trebuchet MS" w:hAnsi="Trebuchet MS"/>
          <w:b/>
          <w:sz w:val="24"/>
          <w:szCs w:val="24"/>
        </w:rPr>
        <w:t>What can you do</w:t>
      </w:r>
      <w:r w:rsidR="00D5034D">
        <w:rPr>
          <w:rFonts w:ascii="Trebuchet MS" w:hAnsi="Trebuchet MS"/>
          <w:b/>
          <w:sz w:val="24"/>
          <w:szCs w:val="24"/>
        </w:rPr>
        <w:t>?</w:t>
      </w:r>
      <w:r w:rsidRPr="001071D5">
        <w:rPr>
          <w:rFonts w:ascii="Trebuchet MS" w:hAnsi="Trebuchet MS"/>
          <w:b/>
          <w:sz w:val="24"/>
          <w:szCs w:val="24"/>
        </w:rPr>
        <w:t xml:space="preserve"> </w:t>
      </w:r>
    </w:p>
    <w:p w14:paraId="6F0BD208" w14:textId="62A8943A" w:rsidR="00397213" w:rsidRPr="00063CAD" w:rsidRDefault="001071D5" w:rsidP="008B2385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This is an opportunity to tell CMS that inadequate reimbursement rates </w:t>
      </w:r>
      <w:r w:rsidR="002D093C">
        <w:rPr>
          <w:rFonts w:ascii="Trebuchet MS" w:hAnsi="Trebuchet MS"/>
          <w:sz w:val="24"/>
          <w:szCs w:val="24"/>
        </w:rPr>
        <w:t>are</w:t>
      </w:r>
      <w:r>
        <w:rPr>
          <w:rFonts w:ascii="Trebuchet MS" w:hAnsi="Trebuchet MS"/>
          <w:sz w:val="24"/>
          <w:szCs w:val="24"/>
        </w:rPr>
        <w:t xml:space="preserve"> a </w:t>
      </w:r>
      <w:r w:rsidR="00924BA1">
        <w:rPr>
          <w:rFonts w:ascii="Trebuchet MS" w:hAnsi="Trebuchet MS"/>
          <w:sz w:val="24"/>
          <w:szCs w:val="24"/>
        </w:rPr>
        <w:t>critical issue</w:t>
      </w:r>
      <w:r>
        <w:rPr>
          <w:rFonts w:ascii="Trebuchet MS" w:hAnsi="Trebuchet MS"/>
          <w:sz w:val="24"/>
          <w:szCs w:val="24"/>
        </w:rPr>
        <w:t xml:space="preserve"> for people with disabilities. States must do </w:t>
      </w:r>
      <w:r w:rsidR="00365F29">
        <w:rPr>
          <w:rFonts w:ascii="Trebuchet MS" w:hAnsi="Trebuchet MS"/>
          <w:sz w:val="24"/>
          <w:szCs w:val="24"/>
        </w:rPr>
        <w:t xml:space="preserve">a </w:t>
      </w:r>
      <w:r>
        <w:rPr>
          <w:rFonts w:ascii="Trebuchet MS" w:hAnsi="Trebuchet MS"/>
          <w:sz w:val="24"/>
          <w:szCs w:val="24"/>
        </w:rPr>
        <w:t xml:space="preserve">meaningful review of access to services and supports and provide CMS with tools to enforce this requirement. </w:t>
      </w:r>
      <w:r w:rsidR="00063CAD" w:rsidRPr="00063CAD">
        <w:rPr>
          <w:rFonts w:ascii="Trebuchet MS" w:hAnsi="Trebuchet MS" w:cs="Times New Roman"/>
          <w:sz w:val="24"/>
          <w:szCs w:val="24"/>
        </w:rPr>
        <w:t xml:space="preserve">CMS should keep the rule in effect and expand it to include managed care and HCBS </w:t>
      </w:r>
      <w:r w:rsidR="00924BA1">
        <w:rPr>
          <w:rFonts w:ascii="Trebuchet MS" w:hAnsi="Trebuchet MS" w:cs="Times New Roman"/>
          <w:sz w:val="24"/>
          <w:szCs w:val="24"/>
        </w:rPr>
        <w:t xml:space="preserve">and </w:t>
      </w:r>
      <w:r w:rsidR="00063CAD" w:rsidRPr="00063CAD">
        <w:rPr>
          <w:rFonts w:ascii="Trebuchet MS" w:hAnsi="Trebuchet MS" w:cs="Times New Roman"/>
          <w:sz w:val="24"/>
          <w:szCs w:val="24"/>
        </w:rPr>
        <w:t xml:space="preserve">covers </w:t>
      </w:r>
      <w:r w:rsidR="006116B8">
        <w:rPr>
          <w:rFonts w:ascii="Trebuchet MS" w:hAnsi="Trebuchet MS" w:cs="Times New Roman"/>
          <w:sz w:val="24"/>
          <w:szCs w:val="24"/>
        </w:rPr>
        <w:t>s</w:t>
      </w:r>
      <w:r>
        <w:rPr>
          <w:rFonts w:ascii="Trebuchet MS" w:hAnsi="Trebuchet MS" w:cs="Times New Roman"/>
          <w:sz w:val="24"/>
          <w:szCs w:val="24"/>
        </w:rPr>
        <w:t>ervices</w:t>
      </w:r>
      <w:r w:rsidR="006116B8">
        <w:rPr>
          <w:rFonts w:ascii="Trebuchet MS" w:hAnsi="Trebuchet MS" w:cs="Times New Roman"/>
          <w:sz w:val="24"/>
          <w:szCs w:val="24"/>
        </w:rPr>
        <w:t xml:space="preserve"> important to people with disabilities</w:t>
      </w:r>
      <w:r>
        <w:rPr>
          <w:rFonts w:ascii="Trebuchet MS" w:hAnsi="Trebuchet MS" w:cs="Times New Roman"/>
          <w:sz w:val="24"/>
          <w:szCs w:val="24"/>
        </w:rPr>
        <w:t xml:space="preserve">. </w:t>
      </w:r>
    </w:p>
    <w:p w14:paraId="33856655" w14:textId="77777777" w:rsidR="00397213" w:rsidRPr="00063CAD" w:rsidRDefault="001071D5" w:rsidP="008B2385">
      <w:pPr>
        <w:spacing w:line="240" w:lineRule="auto"/>
        <w:rPr>
          <w:rFonts w:ascii="Trebuchet MS" w:hAnsi="Trebuchet MS"/>
          <w:sz w:val="24"/>
          <w:szCs w:val="24"/>
        </w:rPr>
      </w:pPr>
      <w:bookmarkStart w:id="2" w:name="_Hlk18579993"/>
      <w:r>
        <w:rPr>
          <w:rFonts w:ascii="Trebuchet MS" w:hAnsi="Trebuchet MS"/>
          <w:sz w:val="24"/>
          <w:szCs w:val="24"/>
        </w:rPr>
        <w:t xml:space="preserve">Key messages to send to </w:t>
      </w:r>
      <w:r w:rsidR="00397213" w:rsidRPr="00063CAD">
        <w:rPr>
          <w:rFonts w:ascii="Trebuchet MS" w:hAnsi="Trebuchet MS"/>
          <w:sz w:val="24"/>
          <w:szCs w:val="24"/>
        </w:rPr>
        <w:t>CMS</w:t>
      </w:r>
      <w:r>
        <w:rPr>
          <w:rFonts w:ascii="Trebuchet MS" w:hAnsi="Trebuchet MS"/>
          <w:sz w:val="24"/>
          <w:szCs w:val="24"/>
        </w:rPr>
        <w:t>:</w:t>
      </w:r>
      <w:r w:rsidR="00397213" w:rsidRPr="00063CAD">
        <w:rPr>
          <w:rFonts w:ascii="Trebuchet MS" w:hAnsi="Trebuchet MS"/>
          <w:sz w:val="24"/>
          <w:szCs w:val="24"/>
        </w:rPr>
        <w:t xml:space="preserve"> </w:t>
      </w:r>
    </w:p>
    <w:p w14:paraId="1FB3943C" w14:textId="77777777" w:rsidR="00397213" w:rsidRPr="001071D5" w:rsidRDefault="00397213" w:rsidP="008B2385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sz w:val="24"/>
          <w:szCs w:val="24"/>
        </w:rPr>
      </w:pPr>
      <w:r w:rsidRPr="001071D5">
        <w:rPr>
          <w:rFonts w:ascii="Trebuchet MS" w:hAnsi="Trebuchet MS"/>
          <w:sz w:val="24"/>
          <w:szCs w:val="24"/>
        </w:rPr>
        <w:t>Stress the importance of adequate reimbursement rates</w:t>
      </w:r>
      <w:r w:rsidR="001071D5">
        <w:rPr>
          <w:rFonts w:ascii="Trebuchet MS" w:hAnsi="Trebuchet MS"/>
          <w:sz w:val="24"/>
          <w:szCs w:val="24"/>
        </w:rPr>
        <w:t xml:space="preserve"> in your state</w:t>
      </w:r>
    </w:p>
    <w:p w14:paraId="474A94F8" w14:textId="7C221AF4" w:rsidR="00AB5AC8" w:rsidRPr="001071D5" w:rsidRDefault="001071D5" w:rsidP="008B2385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Explain the i</w:t>
      </w:r>
      <w:r w:rsidR="00AB5AC8" w:rsidRPr="001071D5">
        <w:rPr>
          <w:rFonts w:ascii="Trebuchet MS" w:hAnsi="Trebuchet MS"/>
          <w:sz w:val="24"/>
          <w:szCs w:val="24"/>
        </w:rPr>
        <w:t>mpact o</w:t>
      </w:r>
      <w:r>
        <w:rPr>
          <w:rFonts w:ascii="Trebuchet MS" w:hAnsi="Trebuchet MS"/>
          <w:sz w:val="24"/>
          <w:szCs w:val="24"/>
        </w:rPr>
        <w:t>f inadequate rates on</w:t>
      </w:r>
      <w:r w:rsidR="007014BC">
        <w:rPr>
          <w:rFonts w:ascii="Trebuchet MS" w:hAnsi="Trebuchet MS"/>
          <w:sz w:val="24"/>
          <w:szCs w:val="24"/>
        </w:rPr>
        <w:t xml:space="preserve"> individuals with disabilities, family members</w:t>
      </w:r>
      <w:r w:rsidR="00835F75">
        <w:rPr>
          <w:rFonts w:ascii="Trebuchet MS" w:hAnsi="Trebuchet MS"/>
          <w:sz w:val="24"/>
          <w:szCs w:val="24"/>
        </w:rPr>
        <w:t>,</w:t>
      </w:r>
      <w:r w:rsidR="007014BC">
        <w:rPr>
          <w:rFonts w:ascii="Trebuchet MS" w:hAnsi="Trebuchet MS"/>
          <w:sz w:val="24"/>
          <w:szCs w:val="24"/>
        </w:rPr>
        <w:t xml:space="preserve"> and service </w:t>
      </w:r>
      <w:r w:rsidR="00AB5AC8" w:rsidRPr="001071D5">
        <w:rPr>
          <w:rFonts w:ascii="Trebuchet MS" w:hAnsi="Trebuchet MS"/>
          <w:sz w:val="24"/>
          <w:szCs w:val="24"/>
        </w:rPr>
        <w:t xml:space="preserve">providers </w:t>
      </w:r>
    </w:p>
    <w:p w14:paraId="1341B966" w14:textId="77777777" w:rsidR="00AB5AC8" w:rsidRPr="001071D5" w:rsidRDefault="001071D5" w:rsidP="008B2385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Describe the </w:t>
      </w:r>
      <w:r w:rsidR="00AB5AC8" w:rsidRPr="001071D5">
        <w:rPr>
          <w:rFonts w:ascii="Trebuchet MS" w:hAnsi="Trebuchet MS"/>
          <w:sz w:val="24"/>
          <w:szCs w:val="24"/>
        </w:rPr>
        <w:t>work force crisis</w:t>
      </w:r>
      <w:r w:rsidR="00D5034D">
        <w:rPr>
          <w:rFonts w:ascii="Trebuchet MS" w:hAnsi="Trebuchet MS"/>
          <w:sz w:val="24"/>
          <w:szCs w:val="24"/>
        </w:rPr>
        <w:t xml:space="preserve"> and how it impacts you</w:t>
      </w:r>
    </w:p>
    <w:p w14:paraId="5B724695" w14:textId="77777777" w:rsidR="001071D5" w:rsidRPr="001071D5" w:rsidRDefault="00D5034D" w:rsidP="008B2385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</w:t>
      </w:r>
      <w:r w:rsidR="001071D5" w:rsidRPr="001071D5">
        <w:rPr>
          <w:rFonts w:ascii="Trebuchet MS" w:hAnsi="Trebuchet MS"/>
          <w:sz w:val="24"/>
          <w:szCs w:val="24"/>
        </w:rPr>
        <w:t>trengthen the rule by broadening who it covers and how it is done</w:t>
      </w:r>
      <w:bookmarkEnd w:id="2"/>
    </w:p>
    <w:sectPr w:rsidR="001071D5" w:rsidRPr="0010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92B27" w14:textId="77777777" w:rsidR="00D43F65" w:rsidRDefault="00D43F65" w:rsidP="00063CAD">
      <w:pPr>
        <w:spacing w:after="0" w:line="240" w:lineRule="auto"/>
      </w:pPr>
      <w:r>
        <w:separator/>
      </w:r>
    </w:p>
  </w:endnote>
  <w:endnote w:type="continuationSeparator" w:id="0">
    <w:p w14:paraId="6FE580FE" w14:textId="77777777" w:rsidR="00D43F65" w:rsidRDefault="00D43F65" w:rsidP="0006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473AB" w14:textId="77777777" w:rsidR="00D43F65" w:rsidRDefault="00D43F65" w:rsidP="00063CAD">
      <w:pPr>
        <w:spacing w:after="0" w:line="240" w:lineRule="auto"/>
      </w:pPr>
      <w:r>
        <w:separator/>
      </w:r>
    </w:p>
  </w:footnote>
  <w:footnote w:type="continuationSeparator" w:id="0">
    <w:p w14:paraId="7A6DC27E" w14:textId="77777777" w:rsidR="00D43F65" w:rsidRDefault="00D43F65" w:rsidP="00063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527D5"/>
    <w:multiLevelType w:val="hybridMultilevel"/>
    <w:tmpl w:val="812C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2E"/>
    <w:rsid w:val="00021605"/>
    <w:rsid w:val="00063CAD"/>
    <w:rsid w:val="000E1668"/>
    <w:rsid w:val="00101D1D"/>
    <w:rsid w:val="001071D5"/>
    <w:rsid w:val="001B74A7"/>
    <w:rsid w:val="0025763C"/>
    <w:rsid w:val="00286ADC"/>
    <w:rsid w:val="002D093C"/>
    <w:rsid w:val="00365F29"/>
    <w:rsid w:val="00397213"/>
    <w:rsid w:val="0041681E"/>
    <w:rsid w:val="0043226F"/>
    <w:rsid w:val="00464961"/>
    <w:rsid w:val="005410B2"/>
    <w:rsid w:val="006116B8"/>
    <w:rsid w:val="00634ED2"/>
    <w:rsid w:val="0066592A"/>
    <w:rsid w:val="006B59F0"/>
    <w:rsid w:val="006D3227"/>
    <w:rsid w:val="007014BC"/>
    <w:rsid w:val="00780A59"/>
    <w:rsid w:val="007C78B7"/>
    <w:rsid w:val="007D66D8"/>
    <w:rsid w:val="007E606D"/>
    <w:rsid w:val="008148D0"/>
    <w:rsid w:val="00835F75"/>
    <w:rsid w:val="008B2385"/>
    <w:rsid w:val="00916B4F"/>
    <w:rsid w:val="00924BA1"/>
    <w:rsid w:val="00955EB8"/>
    <w:rsid w:val="00976F74"/>
    <w:rsid w:val="009A66F1"/>
    <w:rsid w:val="00A22BFE"/>
    <w:rsid w:val="00AB5AC8"/>
    <w:rsid w:val="00AC0B2E"/>
    <w:rsid w:val="00AF026C"/>
    <w:rsid w:val="00B027B5"/>
    <w:rsid w:val="00BE221B"/>
    <w:rsid w:val="00D43F65"/>
    <w:rsid w:val="00D5034D"/>
    <w:rsid w:val="00D8475B"/>
    <w:rsid w:val="00D90D86"/>
    <w:rsid w:val="00DC63BD"/>
    <w:rsid w:val="00DE457D"/>
    <w:rsid w:val="00F40E24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F012"/>
  <w15:chartTrackingRefBased/>
  <w15:docId w15:val="{30D719C2-648C-4BB7-8512-B03C58B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3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C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071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Ward</dc:creator>
  <cp:keywords/>
  <dc:description/>
  <cp:lastModifiedBy>Ramona Hattendorf</cp:lastModifiedBy>
  <cp:revision>2</cp:revision>
  <cp:lastPrinted>2019-09-05T18:34:00Z</cp:lastPrinted>
  <dcterms:created xsi:type="dcterms:W3CDTF">2019-09-11T15:53:00Z</dcterms:created>
  <dcterms:modified xsi:type="dcterms:W3CDTF">2019-09-11T15:53:00Z</dcterms:modified>
</cp:coreProperties>
</file>